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8B6BC" w14:textId="77777777" w:rsidR="006202F0" w:rsidRPr="00B126AF" w:rsidRDefault="006202F0" w:rsidP="006202F0">
      <w:pPr>
        <w:jc w:val="center"/>
        <w:rPr>
          <w:rFonts w:ascii="Aptos" w:hAnsi="Aptos" w:cstheme="minorHAnsi"/>
          <w:b/>
          <w:bCs/>
          <w:color w:val="003366"/>
          <w:sz w:val="24"/>
          <w:szCs w:val="24"/>
        </w:rPr>
      </w:pPr>
      <w:r w:rsidRPr="00B126AF">
        <w:rPr>
          <w:rFonts w:ascii="Aptos" w:hAnsi="Aptos" w:cstheme="minorHAnsi"/>
          <w:b/>
          <w:bCs/>
          <w:color w:val="003366"/>
          <w:sz w:val="24"/>
          <w:szCs w:val="24"/>
        </w:rPr>
        <w:t>Bilješke uz financijske izvještaje</w:t>
      </w:r>
    </w:p>
    <w:p w14:paraId="131727BC" w14:textId="707E35D9" w:rsidR="006202F0" w:rsidRPr="00B126AF" w:rsidRDefault="006202F0" w:rsidP="006202F0">
      <w:pPr>
        <w:jc w:val="center"/>
        <w:rPr>
          <w:rFonts w:ascii="Aptos" w:hAnsi="Aptos" w:cstheme="minorHAnsi"/>
          <w:b/>
          <w:bCs/>
          <w:color w:val="003366"/>
          <w:sz w:val="24"/>
          <w:szCs w:val="24"/>
        </w:rPr>
      </w:pPr>
      <w:r w:rsidRPr="00B126AF">
        <w:rPr>
          <w:rFonts w:ascii="Aptos" w:hAnsi="Aptos" w:cstheme="minorHAnsi"/>
          <w:b/>
          <w:bCs/>
          <w:color w:val="003366"/>
          <w:sz w:val="24"/>
          <w:szCs w:val="24"/>
        </w:rPr>
        <w:t>za razdoblje od 01. siječnja 202</w:t>
      </w:r>
      <w:r w:rsidR="004335C3" w:rsidRPr="00B126AF">
        <w:rPr>
          <w:rFonts w:ascii="Aptos" w:hAnsi="Aptos" w:cstheme="minorHAnsi"/>
          <w:b/>
          <w:bCs/>
          <w:color w:val="003366"/>
          <w:sz w:val="24"/>
          <w:szCs w:val="24"/>
        </w:rPr>
        <w:t>3</w:t>
      </w:r>
      <w:r w:rsidRPr="00B126AF">
        <w:rPr>
          <w:rFonts w:ascii="Aptos" w:hAnsi="Aptos" w:cstheme="minorHAnsi"/>
          <w:b/>
          <w:bCs/>
          <w:color w:val="003366"/>
          <w:sz w:val="24"/>
          <w:szCs w:val="24"/>
        </w:rPr>
        <w:t>. do 31. prosinca 202</w:t>
      </w:r>
      <w:r w:rsidR="004335C3" w:rsidRPr="00B126AF">
        <w:rPr>
          <w:rFonts w:ascii="Aptos" w:hAnsi="Aptos" w:cstheme="minorHAnsi"/>
          <w:b/>
          <w:bCs/>
          <w:color w:val="003366"/>
          <w:sz w:val="24"/>
          <w:szCs w:val="24"/>
        </w:rPr>
        <w:t>3</w:t>
      </w:r>
      <w:r w:rsidRPr="00B126AF">
        <w:rPr>
          <w:rFonts w:ascii="Aptos" w:hAnsi="Aptos" w:cstheme="minorHAnsi"/>
          <w:b/>
          <w:bCs/>
          <w:color w:val="003366"/>
          <w:sz w:val="24"/>
          <w:szCs w:val="24"/>
        </w:rPr>
        <w:t>.</w:t>
      </w:r>
    </w:p>
    <w:p w14:paraId="7A5C1E2D" w14:textId="77777777" w:rsidR="006202F0" w:rsidRPr="00B126AF" w:rsidRDefault="006202F0" w:rsidP="006202F0">
      <w:pPr>
        <w:rPr>
          <w:rFonts w:ascii="Aptos" w:hAnsi="Aptos" w:cstheme="minorHAnsi"/>
        </w:rPr>
      </w:pP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45"/>
        <w:gridCol w:w="615"/>
        <w:gridCol w:w="1360"/>
        <w:gridCol w:w="57"/>
        <w:gridCol w:w="704"/>
        <w:gridCol w:w="1139"/>
        <w:gridCol w:w="850"/>
        <w:gridCol w:w="236"/>
        <w:gridCol w:w="283"/>
        <w:gridCol w:w="284"/>
        <w:gridCol w:w="635"/>
        <w:gridCol w:w="830"/>
      </w:tblGrid>
      <w:tr w:rsidR="006202F0" w:rsidRPr="00B126AF" w14:paraId="4D7F53D1" w14:textId="77777777" w:rsidTr="005E2B2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9E1B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Broj RKP-a: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504521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30074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E25DB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Oznaka razdoblja: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C8F12CE" w14:textId="43890751" w:rsidR="006202F0" w:rsidRPr="00F61B8D" w:rsidRDefault="006202F0" w:rsidP="005E2B22">
            <w:pPr>
              <w:jc w:val="center"/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202</w:t>
            </w:r>
            <w:r w:rsidR="004335C3"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3</w:t>
            </w: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-12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5748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351B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1F62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8AC85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44DFD6F6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492D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0B6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4AC3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DF79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0D7C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106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499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FD53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4B91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E19B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A850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4C550863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634C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42D5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D89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0D2D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40C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EC6F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2581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B523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A92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01CD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FE00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41A68555" w14:textId="77777777" w:rsidTr="005E2B2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9541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Naziv obveznika: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3D7DCFE8" w14:textId="77777777" w:rsidR="006202F0" w:rsidRPr="00F61B8D" w:rsidRDefault="006202F0" w:rsidP="005E2B22">
            <w:pPr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GRAD BAKAR</w:t>
            </w:r>
          </w:p>
        </w:tc>
        <w:tc>
          <w:tcPr>
            <w:tcW w:w="3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C356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Od datuma: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55B7BBB" w14:textId="10556314" w:rsidR="006202F0" w:rsidRPr="00F61B8D" w:rsidRDefault="006202F0" w:rsidP="005E2B22">
            <w:pPr>
              <w:jc w:val="center"/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01.01.202</w:t>
            </w:r>
            <w:r w:rsidR="004335C3"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3</w:t>
            </w: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. </w:t>
            </w:r>
          </w:p>
        </w:tc>
      </w:tr>
      <w:tr w:rsidR="006202F0" w:rsidRPr="00B126AF" w14:paraId="64AF2524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E3E6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B61C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3BEC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8801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5BD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19E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81B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3328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7D44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7DBB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5B94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13F6CE13" w14:textId="77777777" w:rsidTr="005E2B2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B0F8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Pošta i mjesto: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5" w:color="C0C0C0" w:fill="auto"/>
            <w:noWrap/>
            <w:vAlign w:val="center"/>
            <w:hideMark/>
          </w:tcPr>
          <w:p w14:paraId="1D01DA3C" w14:textId="77777777" w:rsidR="006202F0" w:rsidRPr="00F61B8D" w:rsidRDefault="006202F0" w:rsidP="005E2B22">
            <w:pPr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51222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6B1DF5DA" w14:textId="77777777" w:rsidR="006202F0" w:rsidRPr="00F61B8D" w:rsidRDefault="006202F0" w:rsidP="005E2B22">
            <w:pPr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BAKAR</w:t>
            </w:r>
          </w:p>
        </w:tc>
        <w:tc>
          <w:tcPr>
            <w:tcW w:w="3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A607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Do datuma: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48741DE" w14:textId="01560E13" w:rsidR="006202F0" w:rsidRPr="00F61B8D" w:rsidRDefault="006202F0" w:rsidP="005E2B22">
            <w:pPr>
              <w:jc w:val="center"/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31.12.202</w:t>
            </w:r>
            <w:r w:rsidR="004335C3"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3</w:t>
            </w: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.</w:t>
            </w:r>
          </w:p>
        </w:tc>
      </w:tr>
      <w:tr w:rsidR="006202F0" w:rsidRPr="00B126AF" w14:paraId="0168BAE2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5C01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9FE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3F68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2E22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8E6A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5DF6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7DF6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06C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EEC5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BE8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0FE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2B70B0E2" w14:textId="77777777" w:rsidTr="005E2B2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18CA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Ulica i kućni broj: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581D770" w14:textId="77777777" w:rsidR="006202F0" w:rsidRPr="00F61B8D" w:rsidRDefault="006202F0" w:rsidP="005E2B22">
            <w:pPr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PRIMORJE 39</w:t>
            </w:r>
          </w:p>
        </w:tc>
        <w:tc>
          <w:tcPr>
            <w:tcW w:w="3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9883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OIB: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D11B599" w14:textId="77777777" w:rsidR="006202F0" w:rsidRPr="00F61B8D" w:rsidRDefault="006202F0" w:rsidP="005E2B22">
            <w:pPr>
              <w:jc w:val="center"/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31708325678</w:t>
            </w:r>
          </w:p>
        </w:tc>
      </w:tr>
      <w:tr w:rsidR="006202F0" w:rsidRPr="00B126AF" w14:paraId="09AE97E2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A326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A281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DD1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BE55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89D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B11B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34E4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1818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47E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4EE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AF4C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616F95FE" w14:textId="77777777" w:rsidTr="005E2B2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5F18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Razina: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B1DD2B8" w14:textId="413F986D" w:rsidR="006202F0" w:rsidRPr="00F61B8D" w:rsidRDefault="006202F0" w:rsidP="005E2B22">
            <w:pPr>
              <w:jc w:val="center"/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2</w:t>
            </w:r>
            <w:r w:rsidR="00A25B09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3</w:t>
            </w:r>
          </w:p>
        </w:tc>
        <w:tc>
          <w:tcPr>
            <w:tcW w:w="69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99CC3" w14:textId="77777777" w:rsidR="006202F0" w:rsidRPr="00F61B8D" w:rsidRDefault="006202F0" w:rsidP="005E2B22">
            <w:pPr>
              <w:rPr>
                <w:rFonts w:ascii="Aptos" w:hAnsi="Aptos" w:cstheme="minorHAnsi"/>
                <w:b/>
                <w:bCs/>
                <w:color w:val="C0C0C0"/>
                <w:sz w:val="18"/>
                <w:szCs w:val="18"/>
              </w:rPr>
            </w:pPr>
          </w:p>
        </w:tc>
      </w:tr>
      <w:tr w:rsidR="006202F0" w:rsidRPr="00B126AF" w14:paraId="4A8CEEAA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111C" w14:textId="77777777" w:rsidR="006202F0" w:rsidRPr="00B126AF" w:rsidRDefault="006202F0" w:rsidP="005E2B22">
            <w:pPr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1EDD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C6E5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2B64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59E4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735F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BA6F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13A2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097C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DFDE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315F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7DAD9C40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D1D7" w14:textId="77777777" w:rsidR="006202F0" w:rsidRPr="00B126AF" w:rsidRDefault="006202F0" w:rsidP="005E2B22">
            <w:pPr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F607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4AF9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29E5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FE32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B35B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992D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3B7F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6369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78C1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5424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</w:tbl>
    <w:p w14:paraId="2D40C026" w14:textId="34CF1E06" w:rsidR="00A25B09" w:rsidRDefault="006202F0" w:rsidP="00A25B09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Na temelju članka 14. </w:t>
      </w:r>
      <w:r w:rsidR="00A25B09">
        <w:rPr>
          <w:rFonts w:ascii="Aptos" w:hAnsi="Aptos" w:cstheme="minorHAnsi"/>
          <w:sz w:val="22"/>
          <w:szCs w:val="22"/>
        </w:rPr>
        <w:t xml:space="preserve">i članka 19. </w:t>
      </w:r>
      <w:r w:rsidRPr="00F61B8D">
        <w:rPr>
          <w:rFonts w:ascii="Aptos" w:hAnsi="Aptos" w:cstheme="minorHAnsi"/>
          <w:sz w:val="22"/>
          <w:szCs w:val="22"/>
        </w:rPr>
        <w:t xml:space="preserve">Pravilnika o financijskom izvještavanju u proračunskom računovodstvu  (Narodne novine broj  37/22) </w:t>
      </w:r>
      <w:r w:rsidR="00A25B09" w:rsidRPr="00A25B09">
        <w:rPr>
          <w:rFonts w:ascii="Aptos" w:hAnsi="Aptos" w:cstheme="minorHAnsi"/>
          <w:b/>
          <w:bCs/>
          <w:sz w:val="22"/>
          <w:szCs w:val="22"/>
        </w:rPr>
        <w:t xml:space="preserve">konsolidirani </w:t>
      </w:r>
      <w:r w:rsidRPr="00A25B09">
        <w:rPr>
          <w:rFonts w:ascii="Aptos" w:hAnsi="Aptos" w:cstheme="minorHAnsi"/>
          <w:b/>
          <w:bCs/>
          <w:sz w:val="22"/>
          <w:szCs w:val="22"/>
        </w:rPr>
        <w:t>financijski izvještaj Grada Bakra</w:t>
      </w:r>
      <w:r w:rsidRPr="00F61B8D">
        <w:rPr>
          <w:rFonts w:ascii="Aptos" w:hAnsi="Aptos" w:cstheme="minorHAnsi"/>
          <w:sz w:val="22"/>
          <w:szCs w:val="22"/>
        </w:rPr>
        <w:t xml:space="preserve"> za  razdoblje od 01. siječnja do </w:t>
      </w:r>
      <w:r w:rsidR="0067630F" w:rsidRPr="00F61B8D">
        <w:rPr>
          <w:rFonts w:ascii="Aptos" w:hAnsi="Aptos" w:cstheme="minorHAnsi"/>
          <w:sz w:val="22"/>
          <w:szCs w:val="22"/>
        </w:rPr>
        <w:t>31. prosinca</w:t>
      </w:r>
      <w:r w:rsidRPr="00F61B8D">
        <w:rPr>
          <w:rFonts w:ascii="Aptos" w:hAnsi="Aptos" w:cstheme="minorHAnsi"/>
          <w:sz w:val="22"/>
          <w:szCs w:val="22"/>
        </w:rPr>
        <w:t xml:space="preserve"> 202</w:t>
      </w:r>
      <w:r w:rsidR="004335C3" w:rsidRPr="00F61B8D">
        <w:rPr>
          <w:rFonts w:ascii="Aptos" w:hAnsi="Aptos" w:cstheme="minorHAnsi"/>
          <w:sz w:val="22"/>
          <w:szCs w:val="22"/>
        </w:rPr>
        <w:t>3</w:t>
      </w:r>
      <w:r w:rsidRPr="00F61B8D">
        <w:rPr>
          <w:rFonts w:ascii="Aptos" w:hAnsi="Aptos" w:cstheme="minorHAnsi"/>
          <w:sz w:val="22"/>
          <w:szCs w:val="22"/>
        </w:rPr>
        <w:t>. godine</w:t>
      </w:r>
      <w:r w:rsidR="00A25B09">
        <w:rPr>
          <w:rFonts w:ascii="Aptos" w:hAnsi="Aptos" w:cstheme="minorHAnsi"/>
          <w:sz w:val="22"/>
          <w:szCs w:val="22"/>
        </w:rPr>
        <w:t>,</w:t>
      </w:r>
      <w:r w:rsidR="00A25B09" w:rsidRPr="00A25B09">
        <w:rPr>
          <w:rFonts w:ascii="Calibri" w:hAnsi="Calibri" w:cs="Calibri"/>
          <w:sz w:val="22"/>
          <w:szCs w:val="22"/>
        </w:rPr>
        <w:t xml:space="preserve"> </w:t>
      </w:r>
      <w:r w:rsidR="00A25B09" w:rsidRPr="00A25B09">
        <w:rPr>
          <w:rFonts w:ascii="Aptos" w:hAnsi="Aptos" w:cstheme="minorHAnsi"/>
          <w:sz w:val="22"/>
          <w:szCs w:val="22"/>
        </w:rPr>
        <w:t>a koji obuhvaća financijske izvještaje Grada Bakra i proračunskih korisnika – Dječji vrtić Bakar i Gradska knjižnica Bakar</w:t>
      </w:r>
      <w:r w:rsidRPr="00F61B8D">
        <w:rPr>
          <w:rFonts w:ascii="Aptos" w:hAnsi="Aptos" w:cstheme="minorHAnsi"/>
          <w:sz w:val="22"/>
          <w:szCs w:val="22"/>
        </w:rPr>
        <w:t xml:space="preserve"> dopunjuj</w:t>
      </w:r>
      <w:r w:rsidR="00A25B09">
        <w:rPr>
          <w:rFonts w:ascii="Aptos" w:hAnsi="Aptos" w:cstheme="minorHAnsi"/>
          <w:sz w:val="22"/>
          <w:szCs w:val="22"/>
        </w:rPr>
        <w:t>e</w:t>
      </w:r>
      <w:r w:rsidRPr="00F61B8D">
        <w:rPr>
          <w:rFonts w:ascii="Aptos" w:hAnsi="Aptos" w:cstheme="minorHAnsi"/>
          <w:sz w:val="22"/>
          <w:szCs w:val="22"/>
        </w:rPr>
        <w:t xml:space="preserve"> se bilješkama kako slijedi:</w:t>
      </w:r>
    </w:p>
    <w:p w14:paraId="536B4274" w14:textId="5958A456" w:rsidR="0085328F" w:rsidRPr="00F61B8D" w:rsidRDefault="0085328F" w:rsidP="00C54F0E">
      <w:pPr>
        <w:shd w:val="clear" w:color="auto" w:fill="D9D9D9" w:themeFill="background1" w:themeFillShade="D9"/>
        <w:spacing w:before="60" w:after="60"/>
        <w:ind w:left="-425" w:right="-380"/>
        <w:jc w:val="both"/>
        <w:rPr>
          <w:rFonts w:ascii="Aptos" w:hAnsi="Aptos" w:cstheme="minorHAnsi"/>
          <w:b/>
          <w:sz w:val="22"/>
          <w:szCs w:val="22"/>
        </w:rPr>
      </w:pPr>
      <w:r>
        <w:rPr>
          <w:rFonts w:ascii="Aptos" w:hAnsi="Aptos" w:cstheme="minorHAnsi"/>
          <w:b/>
          <w:sz w:val="22"/>
          <w:szCs w:val="22"/>
        </w:rPr>
        <w:t>A</w:t>
      </w:r>
      <w:r w:rsidRPr="00F61B8D">
        <w:rPr>
          <w:rFonts w:ascii="Aptos" w:hAnsi="Aptos" w:cstheme="minorHAnsi"/>
          <w:b/>
          <w:sz w:val="22"/>
          <w:szCs w:val="22"/>
        </w:rPr>
        <w:t xml:space="preserve">/  BILJEŠKE UZ IZVJEŠTAJ O PRIHODIMA, RASHODIMA, PRIMICIMA I IZDACIMA </w:t>
      </w:r>
    </w:p>
    <w:p w14:paraId="54E138FA" w14:textId="77777777" w:rsidR="0085328F" w:rsidRPr="00F61B8D" w:rsidRDefault="0085328F" w:rsidP="0085328F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1.</w:t>
      </w:r>
    </w:p>
    <w:p w14:paraId="2EDA2270" w14:textId="653F0265" w:rsidR="00A25B09" w:rsidRPr="00A25B09" w:rsidRDefault="00A25B09" w:rsidP="00A25B09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A25B09">
        <w:rPr>
          <w:rFonts w:ascii="Aptos" w:hAnsi="Aptos" w:cstheme="minorHAnsi"/>
          <w:sz w:val="22"/>
          <w:szCs w:val="22"/>
        </w:rPr>
        <w:t>U 202</w:t>
      </w:r>
      <w:r>
        <w:rPr>
          <w:rFonts w:ascii="Aptos" w:hAnsi="Aptos" w:cstheme="minorHAnsi"/>
          <w:sz w:val="22"/>
          <w:szCs w:val="22"/>
        </w:rPr>
        <w:t>3</w:t>
      </w:r>
      <w:r w:rsidRPr="00A25B09">
        <w:rPr>
          <w:rFonts w:ascii="Aptos" w:hAnsi="Aptos" w:cstheme="minorHAnsi"/>
          <w:sz w:val="22"/>
          <w:szCs w:val="22"/>
        </w:rPr>
        <w:t xml:space="preserve">. godini ukupno izvršenje prihoda i primitaka sa uključenim raspoloživim sredstvima iz prethodne godine iznosi </w:t>
      </w:r>
      <w:r>
        <w:rPr>
          <w:rFonts w:ascii="Aptos" w:hAnsi="Aptos" w:cstheme="minorHAnsi"/>
          <w:sz w:val="22"/>
          <w:szCs w:val="22"/>
        </w:rPr>
        <w:t>17.176.797,56 €</w:t>
      </w:r>
      <w:r w:rsidRPr="00A25B09">
        <w:rPr>
          <w:rFonts w:ascii="Aptos" w:hAnsi="Aptos" w:cstheme="minorHAnsi"/>
          <w:sz w:val="22"/>
          <w:szCs w:val="22"/>
        </w:rPr>
        <w:t xml:space="preserve"> ili </w:t>
      </w:r>
      <w:r>
        <w:rPr>
          <w:rFonts w:ascii="Aptos" w:hAnsi="Aptos" w:cstheme="minorHAnsi"/>
          <w:sz w:val="22"/>
          <w:szCs w:val="22"/>
        </w:rPr>
        <w:t>7,49</w:t>
      </w:r>
      <w:r w:rsidRPr="00A25B09">
        <w:rPr>
          <w:rFonts w:ascii="Aptos" w:hAnsi="Aptos" w:cstheme="minorHAnsi"/>
          <w:sz w:val="22"/>
          <w:szCs w:val="22"/>
        </w:rPr>
        <w:t xml:space="preserve">% više od ukupno planiranih prihoda i primitaka na godišnjoj razini, dok su ukupni rashodi i izdaci ostvareni u iznosu od </w:t>
      </w:r>
      <w:r>
        <w:rPr>
          <w:rFonts w:ascii="Aptos" w:hAnsi="Aptos" w:cstheme="minorHAnsi"/>
          <w:sz w:val="22"/>
          <w:szCs w:val="22"/>
        </w:rPr>
        <w:t>10.857.473,88 €</w:t>
      </w:r>
      <w:r w:rsidRPr="00A25B09">
        <w:rPr>
          <w:rFonts w:ascii="Aptos" w:hAnsi="Aptos" w:cstheme="minorHAnsi"/>
          <w:sz w:val="22"/>
          <w:szCs w:val="22"/>
        </w:rPr>
        <w:t xml:space="preserve"> ili </w:t>
      </w:r>
      <w:r>
        <w:rPr>
          <w:rFonts w:ascii="Aptos" w:hAnsi="Aptos" w:cstheme="minorHAnsi"/>
          <w:sz w:val="22"/>
          <w:szCs w:val="22"/>
        </w:rPr>
        <w:t>67,95</w:t>
      </w:r>
      <w:r w:rsidRPr="00A25B09">
        <w:rPr>
          <w:rFonts w:ascii="Aptos" w:hAnsi="Aptos" w:cstheme="minorHAnsi"/>
          <w:sz w:val="22"/>
          <w:szCs w:val="22"/>
        </w:rPr>
        <w:t xml:space="preserve">% od ukupno planiranih rashoda i izdataka na godišnjoj razini. Raspoloživa sredstva na kraju ovog obračunskog razdoblja utvrđena su kao višak prihoda i primitaka u iznosu od </w:t>
      </w:r>
      <w:r>
        <w:rPr>
          <w:rFonts w:ascii="Aptos" w:hAnsi="Aptos" w:cstheme="minorHAnsi"/>
          <w:sz w:val="22"/>
          <w:szCs w:val="22"/>
        </w:rPr>
        <w:t>6.319.323,68 €</w:t>
      </w:r>
      <w:r w:rsidRPr="00A25B09">
        <w:rPr>
          <w:rFonts w:ascii="Aptos" w:hAnsi="Aptos" w:cstheme="minorHAnsi"/>
          <w:sz w:val="22"/>
          <w:szCs w:val="22"/>
        </w:rPr>
        <w:t>.</w:t>
      </w:r>
    </w:p>
    <w:p w14:paraId="0167F8B6" w14:textId="77777777" w:rsidR="00A25B09" w:rsidRPr="000C7B01" w:rsidRDefault="00A25B09" w:rsidP="000C7B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0C7B01">
        <w:rPr>
          <w:rFonts w:ascii="Aptos" w:hAnsi="Aptos" w:cstheme="minorHAnsi"/>
          <w:b/>
          <w:sz w:val="22"/>
          <w:szCs w:val="22"/>
        </w:rPr>
        <w:t>ŠIFRA 6, 7 I 8 - PRIHODI I PRIMICI</w:t>
      </w:r>
    </w:p>
    <w:p w14:paraId="0CBCFF50" w14:textId="77777777" w:rsidR="00A25B09" w:rsidRPr="00A25B09" w:rsidRDefault="00A25B09" w:rsidP="00A25B09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A25B09">
        <w:rPr>
          <w:rFonts w:ascii="Aptos" w:hAnsi="Aptos" w:cs="Calibri"/>
          <w:b/>
          <w:bCs/>
          <w:color w:val="000000"/>
          <w:sz w:val="22"/>
          <w:szCs w:val="22"/>
        </w:rPr>
        <w:t>Bilješka 2.</w:t>
      </w:r>
    </w:p>
    <w:p w14:paraId="5D6A399F" w14:textId="1DE8D215" w:rsidR="000C7B01" w:rsidRDefault="00A25B09" w:rsidP="000C7B0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A25B09">
        <w:rPr>
          <w:rFonts w:ascii="Aptos" w:hAnsi="Aptos" w:cstheme="minorHAnsi"/>
          <w:sz w:val="22"/>
          <w:szCs w:val="22"/>
        </w:rPr>
        <w:t>Ukupno konsolidirani prihodi i primici Grada Bakra – šifra X678 za razdoblje od 01. siječnja do 31. prosinca 202</w:t>
      </w:r>
      <w:r>
        <w:rPr>
          <w:rFonts w:ascii="Aptos" w:hAnsi="Aptos" w:cstheme="minorHAnsi"/>
          <w:sz w:val="22"/>
          <w:szCs w:val="22"/>
        </w:rPr>
        <w:t>3</w:t>
      </w:r>
      <w:r w:rsidRPr="00A25B09">
        <w:rPr>
          <w:rFonts w:ascii="Aptos" w:hAnsi="Aptos" w:cstheme="minorHAnsi"/>
          <w:sz w:val="22"/>
          <w:szCs w:val="22"/>
        </w:rPr>
        <w:t xml:space="preserve">. godine iznose </w:t>
      </w:r>
      <w:r w:rsidR="007F4F6B">
        <w:rPr>
          <w:rFonts w:ascii="Aptos" w:hAnsi="Aptos" w:cstheme="minorHAnsi"/>
          <w:sz w:val="22"/>
          <w:szCs w:val="22"/>
        </w:rPr>
        <w:t xml:space="preserve"> </w:t>
      </w:r>
      <w:r w:rsidR="007F4F6B" w:rsidRPr="007F4F6B">
        <w:rPr>
          <w:rFonts w:ascii="Aptos" w:hAnsi="Aptos" w:cstheme="minorHAnsi"/>
          <w:sz w:val="22"/>
          <w:szCs w:val="22"/>
        </w:rPr>
        <w:t xml:space="preserve">14.299.274,30 </w:t>
      </w:r>
      <w:r w:rsidRPr="007F4F6B">
        <w:rPr>
          <w:rFonts w:ascii="Aptos" w:hAnsi="Aptos" w:cstheme="minorHAnsi"/>
          <w:sz w:val="22"/>
          <w:szCs w:val="22"/>
        </w:rPr>
        <w:t xml:space="preserve">€, što je za </w:t>
      </w:r>
      <w:r w:rsidR="007F4F6B">
        <w:rPr>
          <w:rFonts w:ascii="Aptos" w:hAnsi="Aptos" w:cstheme="minorHAnsi"/>
          <w:sz w:val="22"/>
          <w:szCs w:val="22"/>
        </w:rPr>
        <w:t>30,93</w:t>
      </w:r>
      <w:r>
        <w:rPr>
          <w:rFonts w:ascii="Aptos" w:hAnsi="Aptos" w:cstheme="minorHAnsi"/>
          <w:sz w:val="22"/>
          <w:szCs w:val="22"/>
        </w:rPr>
        <w:t xml:space="preserve">% više </w:t>
      </w:r>
      <w:r w:rsidRPr="000C7B01">
        <w:rPr>
          <w:rFonts w:ascii="Aptos" w:hAnsi="Aptos" w:cstheme="minorHAnsi"/>
          <w:sz w:val="22"/>
          <w:szCs w:val="22"/>
        </w:rPr>
        <w:t>u odnosu na ostvarene prihode i primitke 2022. godine</w:t>
      </w:r>
      <w:r w:rsidR="000C7B01">
        <w:rPr>
          <w:rFonts w:ascii="Aptos" w:hAnsi="Aptos" w:cstheme="minorHAnsi"/>
          <w:sz w:val="22"/>
          <w:szCs w:val="22"/>
        </w:rPr>
        <w:t xml:space="preserve">, </w:t>
      </w:r>
      <w:r w:rsidR="000C7B01" w:rsidRPr="00F61B8D">
        <w:rPr>
          <w:rFonts w:ascii="Aptos" w:hAnsi="Aptos" w:cstheme="minorHAnsi"/>
          <w:sz w:val="22"/>
          <w:szCs w:val="22"/>
        </w:rPr>
        <w:t>a prvenstveno zbog više ostvarenih prihoda od poreza, kapitaln</w:t>
      </w:r>
      <w:r w:rsidR="000C7B01">
        <w:rPr>
          <w:rFonts w:ascii="Aptos" w:hAnsi="Aptos" w:cstheme="minorHAnsi"/>
          <w:sz w:val="22"/>
          <w:szCs w:val="22"/>
        </w:rPr>
        <w:t>ih</w:t>
      </w:r>
      <w:r w:rsidR="000C7B01" w:rsidRPr="00F61B8D">
        <w:rPr>
          <w:rFonts w:ascii="Aptos" w:hAnsi="Aptos" w:cstheme="minorHAnsi"/>
          <w:sz w:val="22"/>
          <w:szCs w:val="22"/>
        </w:rPr>
        <w:t xml:space="preserve"> pomoći od izvanproračunskih korisnika, prihoda komunalnog doprinosa i komunalne naknade te ostvarenih donacija nefinancijske imovine od pravnih i fizičkih osoba izvan opoćeg proračuna.</w:t>
      </w:r>
    </w:p>
    <w:tbl>
      <w:tblPr>
        <w:tblW w:w="9563" w:type="dxa"/>
        <w:tblInd w:w="-426" w:type="dxa"/>
        <w:tblLook w:val="04A0" w:firstRow="1" w:lastRow="0" w:firstColumn="1" w:lastColumn="0" w:noHBand="0" w:noVBand="1"/>
      </w:tblPr>
      <w:tblGrid>
        <w:gridCol w:w="825"/>
        <w:gridCol w:w="2578"/>
        <w:gridCol w:w="1559"/>
        <w:gridCol w:w="1560"/>
        <w:gridCol w:w="1701"/>
        <w:gridCol w:w="1340"/>
      </w:tblGrid>
      <w:tr w:rsidR="007F4F6B" w:rsidRPr="007F4F6B" w14:paraId="03DC1F3A" w14:textId="77777777" w:rsidTr="007F4F6B">
        <w:trPr>
          <w:cantSplit/>
          <w:trHeight w:val="276"/>
        </w:trPr>
        <w:tc>
          <w:tcPr>
            <w:tcW w:w="9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4D4B" w14:textId="77777777" w:rsidR="007F4F6B" w:rsidRPr="007F4F6B" w:rsidRDefault="007F4F6B" w:rsidP="007F4F6B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PRIHODI I PRIMICI IZ KONSOLIDACIJE FINANCIJSKOG IZVJEŠTAJA 2023-12</w:t>
            </w:r>
          </w:p>
        </w:tc>
      </w:tr>
      <w:tr w:rsidR="007F4F6B" w:rsidRPr="007F4F6B" w14:paraId="5F52BBAD" w14:textId="77777777" w:rsidTr="007F4F6B">
        <w:trPr>
          <w:cantSplit/>
          <w:trHeight w:val="55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A6938B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776FA10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6404FD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 BAKAR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A203B33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DJEČJI VRTIĆ BAKAR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18BCC79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GRADSKA KNJIŽNICA BAKAR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B301998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7F4F6B" w:rsidRPr="007F4F6B" w14:paraId="1DFF66DF" w14:textId="77777777" w:rsidTr="007F4F6B">
        <w:trPr>
          <w:cantSplit/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C56D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9774" w14:textId="77777777" w:rsidR="007F4F6B" w:rsidRPr="007F4F6B" w:rsidRDefault="007F4F6B" w:rsidP="007F4F6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011B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3.461.949,99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129E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1EE0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4B4B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3.461.949,99</w:t>
            </w:r>
          </w:p>
        </w:tc>
      </w:tr>
      <w:tr w:rsidR="007F4F6B" w:rsidRPr="007F4F6B" w14:paraId="5A2A55FC" w14:textId="77777777" w:rsidTr="007F4F6B">
        <w:trPr>
          <w:cantSplit/>
          <w:trHeight w:val="82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3EB1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409A9" w14:textId="77777777" w:rsidR="007F4F6B" w:rsidRPr="007F4F6B" w:rsidRDefault="007F4F6B" w:rsidP="007F4F6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4773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4.150.474,00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E351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1.836,40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5A6B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8.145,30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72FF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4.160.455,70</w:t>
            </w:r>
          </w:p>
        </w:tc>
      </w:tr>
      <w:tr w:rsidR="007F4F6B" w:rsidRPr="007F4F6B" w14:paraId="2A0DE5F5" w14:textId="77777777" w:rsidTr="007F4F6B">
        <w:trPr>
          <w:cantSplit/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8AFA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6EE9" w14:textId="77777777" w:rsidR="007F4F6B" w:rsidRPr="007F4F6B" w:rsidRDefault="007F4F6B" w:rsidP="007F4F6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D589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1.341.960,71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AA07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D6C2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D95F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1.341.960,71</w:t>
            </w:r>
          </w:p>
        </w:tc>
      </w:tr>
      <w:tr w:rsidR="007F4F6B" w:rsidRPr="007F4F6B" w14:paraId="1D39C6E6" w14:textId="77777777" w:rsidTr="007F4F6B">
        <w:trPr>
          <w:cantSplit/>
          <w:trHeight w:val="82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B6AD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C0068" w14:textId="77777777" w:rsidR="007F4F6B" w:rsidRPr="007F4F6B" w:rsidRDefault="007F4F6B" w:rsidP="007F4F6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Prihodi od upravnih i administrativnih pristojbi, po posebnim propisima i naknada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95D5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4.649.635,24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F68E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201.826,23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67D2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1.060,07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D301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4.852.521,54</w:t>
            </w:r>
          </w:p>
        </w:tc>
      </w:tr>
      <w:tr w:rsidR="007F4F6B" w:rsidRPr="007F4F6B" w14:paraId="7F2AC225" w14:textId="77777777" w:rsidTr="007F4F6B">
        <w:trPr>
          <w:cantSplit/>
          <w:trHeight w:val="55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30DB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3074" w14:textId="77777777" w:rsidR="007F4F6B" w:rsidRPr="007F4F6B" w:rsidRDefault="007F4F6B" w:rsidP="007F4F6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Prihodi od prodaje proizvoda, pruženih usluga te donacija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A563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329.264,03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993D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1.877,19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7D92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6.599,18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1DAA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337.740,40</w:t>
            </w:r>
          </w:p>
        </w:tc>
      </w:tr>
      <w:tr w:rsidR="007F4F6B" w:rsidRPr="007F4F6B" w14:paraId="17D04E03" w14:textId="77777777" w:rsidTr="007F4F6B">
        <w:trPr>
          <w:cantSplit/>
          <w:trHeight w:val="55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F8E8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7B2AC" w14:textId="77777777" w:rsidR="007F4F6B" w:rsidRPr="007F4F6B" w:rsidRDefault="007F4F6B" w:rsidP="007F4F6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Kazne, upravne mjere i ostali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5AE2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673F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492,62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98E2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C408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492,62</w:t>
            </w:r>
          </w:p>
        </w:tc>
      </w:tr>
      <w:tr w:rsidR="007F4F6B" w:rsidRPr="007F4F6B" w14:paraId="6E56FD76" w14:textId="77777777" w:rsidTr="007F4F6B">
        <w:trPr>
          <w:cantSplit/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4D7A2B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549C7D" w14:textId="77777777" w:rsidR="007F4F6B" w:rsidRPr="007F4F6B" w:rsidRDefault="007F4F6B" w:rsidP="007F4F6B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042B39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13.933.283,97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FAEBF1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206.032,44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3A6C44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15.804,55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458663D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14.155.120,96</w:t>
            </w:r>
          </w:p>
        </w:tc>
      </w:tr>
      <w:tr w:rsidR="007F4F6B" w:rsidRPr="007F4F6B" w14:paraId="61E71E52" w14:textId="77777777" w:rsidTr="007F4F6B">
        <w:trPr>
          <w:cantSplit/>
          <w:trHeight w:val="82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86C4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CBA16" w14:textId="77777777" w:rsidR="007F4F6B" w:rsidRPr="007F4F6B" w:rsidRDefault="007F4F6B" w:rsidP="007F4F6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Prihodi od prodaje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B043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78.431,82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E51D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5D28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9648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78.431,82</w:t>
            </w:r>
          </w:p>
        </w:tc>
      </w:tr>
      <w:tr w:rsidR="007F4F6B" w:rsidRPr="007F4F6B" w14:paraId="2DE66EF7" w14:textId="77777777" w:rsidTr="007F4F6B">
        <w:trPr>
          <w:cantSplit/>
          <w:trHeight w:val="55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2BA4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E3C73" w14:textId="77777777" w:rsidR="007F4F6B" w:rsidRPr="007F4F6B" w:rsidRDefault="007F4F6B" w:rsidP="007F4F6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C3A6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65.721,52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6FCC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E3AA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C2A7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color w:val="000000"/>
                <w:sz w:val="18"/>
                <w:szCs w:val="18"/>
              </w:rPr>
              <w:t>65.721,52</w:t>
            </w:r>
          </w:p>
        </w:tc>
      </w:tr>
      <w:tr w:rsidR="007F4F6B" w:rsidRPr="007F4F6B" w14:paraId="5FBCCED0" w14:textId="77777777" w:rsidTr="007F4F6B">
        <w:trPr>
          <w:cantSplit/>
          <w:trHeight w:val="55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3BBB97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A988319" w14:textId="77777777" w:rsidR="007F4F6B" w:rsidRPr="007F4F6B" w:rsidRDefault="007F4F6B" w:rsidP="007F4F6B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EA17A4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144.153,34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99EC4F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0B6499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1F0984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144.153,34</w:t>
            </w:r>
          </w:p>
        </w:tc>
      </w:tr>
      <w:tr w:rsidR="007F4F6B" w:rsidRPr="007F4F6B" w14:paraId="148F99AB" w14:textId="77777777" w:rsidTr="007F4F6B">
        <w:trPr>
          <w:cantSplit/>
          <w:trHeight w:val="27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956F4CD" w14:textId="77777777" w:rsidR="007F4F6B" w:rsidRPr="007F4F6B" w:rsidRDefault="007F4F6B" w:rsidP="007F4F6B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FA4440" w14:textId="77777777" w:rsidR="007F4F6B" w:rsidRPr="007F4F6B" w:rsidRDefault="007F4F6B" w:rsidP="007F4F6B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1914AD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14.077.437,31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3B3159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206.032,44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E110E1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15.804,55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5150A5" w14:textId="77777777" w:rsidR="007F4F6B" w:rsidRPr="007F4F6B" w:rsidRDefault="007F4F6B" w:rsidP="007F4F6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F4F6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14.299.274,30</w:t>
            </w:r>
          </w:p>
        </w:tc>
      </w:tr>
    </w:tbl>
    <w:p w14:paraId="35CA1AB2" w14:textId="77777777" w:rsidR="007F4F6B" w:rsidRPr="007F4F6B" w:rsidRDefault="007F4F6B" w:rsidP="007F4F6B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7F4F6B">
        <w:rPr>
          <w:rFonts w:ascii="Aptos" w:hAnsi="Aptos" w:cs="Calibri"/>
          <w:b/>
          <w:bCs/>
          <w:color w:val="000000"/>
          <w:sz w:val="22"/>
          <w:szCs w:val="22"/>
        </w:rPr>
        <w:t>Bilješka 3.</w:t>
      </w:r>
    </w:p>
    <w:p w14:paraId="3FBEF4ED" w14:textId="76CEBC09" w:rsidR="0023277F" w:rsidRDefault="007F4F6B" w:rsidP="0023277F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23277F">
        <w:rPr>
          <w:rFonts w:ascii="Aptos" w:hAnsi="Aptos" w:cstheme="minorHAnsi"/>
          <w:sz w:val="22"/>
          <w:szCs w:val="22"/>
        </w:rPr>
        <w:t xml:space="preserve">Ostvareni prihodi i primici Grada Bakra u ovom izvještajnom razdoblju iznose </w:t>
      </w:r>
      <w:r w:rsidR="0023277F">
        <w:rPr>
          <w:rFonts w:ascii="Aptos" w:hAnsi="Aptos" w:cstheme="minorHAnsi"/>
          <w:sz w:val="22"/>
          <w:szCs w:val="22"/>
        </w:rPr>
        <w:t>14.077.437,31 €</w:t>
      </w:r>
      <w:r w:rsidRPr="0023277F">
        <w:rPr>
          <w:rFonts w:ascii="Aptos" w:hAnsi="Aptos" w:cstheme="minorHAnsi"/>
          <w:sz w:val="22"/>
          <w:szCs w:val="22"/>
        </w:rPr>
        <w:t xml:space="preserve">. Prihodi poslovanja u ovom izvještajnom razdoblju iznose </w:t>
      </w:r>
      <w:r w:rsidR="0023277F" w:rsidRPr="007F4F6B">
        <w:rPr>
          <w:rFonts w:ascii="Aptos" w:hAnsi="Aptos" w:cstheme="minorHAnsi"/>
          <w:sz w:val="22"/>
          <w:szCs w:val="22"/>
        </w:rPr>
        <w:t>13.933.283,97</w:t>
      </w:r>
      <w:r w:rsidR="0023277F" w:rsidRPr="0023277F">
        <w:rPr>
          <w:rFonts w:ascii="Aptos" w:hAnsi="Aptos" w:cstheme="minorHAnsi"/>
          <w:sz w:val="22"/>
          <w:szCs w:val="22"/>
        </w:rPr>
        <w:t xml:space="preserve"> €</w:t>
      </w:r>
      <w:r w:rsidRPr="0023277F">
        <w:rPr>
          <w:rFonts w:ascii="Aptos" w:hAnsi="Aptos" w:cstheme="minorHAnsi"/>
          <w:sz w:val="22"/>
          <w:szCs w:val="22"/>
        </w:rPr>
        <w:t xml:space="preserve">, što je za </w:t>
      </w:r>
      <w:r w:rsidR="0023277F" w:rsidRPr="0023277F">
        <w:rPr>
          <w:rFonts w:ascii="Aptos" w:hAnsi="Aptos" w:cstheme="minorHAnsi"/>
          <w:sz w:val="22"/>
          <w:szCs w:val="22"/>
        </w:rPr>
        <w:t>36,12</w:t>
      </w:r>
      <w:r w:rsidRPr="0023277F">
        <w:rPr>
          <w:rFonts w:ascii="Aptos" w:hAnsi="Aptos" w:cstheme="minorHAnsi"/>
          <w:sz w:val="22"/>
          <w:szCs w:val="22"/>
        </w:rPr>
        <w:t>% više u odnosu na prihode poslovanja iz 202</w:t>
      </w:r>
      <w:r w:rsidR="0023277F" w:rsidRPr="0023277F">
        <w:rPr>
          <w:rFonts w:ascii="Aptos" w:hAnsi="Aptos" w:cstheme="minorHAnsi"/>
          <w:sz w:val="22"/>
          <w:szCs w:val="22"/>
        </w:rPr>
        <w:t>2</w:t>
      </w:r>
      <w:r w:rsidRPr="0023277F">
        <w:rPr>
          <w:rFonts w:ascii="Aptos" w:hAnsi="Aptos" w:cstheme="minorHAnsi"/>
          <w:sz w:val="22"/>
          <w:szCs w:val="22"/>
        </w:rPr>
        <w:t xml:space="preserve">. godine, a prvenstveno zbog više ostvarenih prihoda od poreza uslijed veće gospodarske aktivnosti </w:t>
      </w:r>
      <w:r w:rsidR="0023277F" w:rsidRPr="00F61B8D">
        <w:rPr>
          <w:rFonts w:ascii="Aptos" w:hAnsi="Aptos" w:cstheme="minorHAnsi"/>
          <w:sz w:val="22"/>
          <w:szCs w:val="22"/>
        </w:rPr>
        <w:t>na gradskom području, posebice u Industrijskoj zoni Kukuljanovo</w:t>
      </w:r>
      <w:r w:rsidR="0023277F">
        <w:rPr>
          <w:rFonts w:ascii="Aptos" w:hAnsi="Aptos" w:cstheme="minorHAnsi"/>
          <w:sz w:val="22"/>
          <w:szCs w:val="22"/>
        </w:rPr>
        <w:t xml:space="preserve">, zatim </w:t>
      </w:r>
      <w:r w:rsidR="0023277F" w:rsidRPr="00F61B8D">
        <w:rPr>
          <w:rFonts w:ascii="Aptos" w:hAnsi="Aptos" w:cstheme="minorHAnsi"/>
          <w:sz w:val="22"/>
          <w:szCs w:val="22"/>
        </w:rPr>
        <w:t xml:space="preserve"> ostvaren</w:t>
      </w:r>
      <w:r w:rsidR="0023277F">
        <w:rPr>
          <w:rFonts w:ascii="Aptos" w:hAnsi="Aptos" w:cstheme="minorHAnsi"/>
          <w:sz w:val="22"/>
          <w:szCs w:val="22"/>
        </w:rPr>
        <w:t>ih</w:t>
      </w:r>
      <w:r w:rsidR="0023277F" w:rsidRPr="00F61B8D">
        <w:rPr>
          <w:rFonts w:ascii="Aptos" w:hAnsi="Aptos" w:cstheme="minorHAnsi"/>
          <w:sz w:val="22"/>
          <w:szCs w:val="22"/>
        </w:rPr>
        <w:t xml:space="preserve"> sredst</w:t>
      </w:r>
      <w:r w:rsidR="0023277F">
        <w:rPr>
          <w:rFonts w:ascii="Aptos" w:hAnsi="Aptos" w:cstheme="minorHAnsi"/>
          <w:sz w:val="22"/>
          <w:szCs w:val="22"/>
        </w:rPr>
        <w:t>a</w:t>
      </w:r>
      <w:r w:rsidR="0023277F" w:rsidRPr="00F61B8D">
        <w:rPr>
          <w:rFonts w:ascii="Aptos" w:hAnsi="Aptos" w:cstheme="minorHAnsi"/>
          <w:sz w:val="22"/>
          <w:szCs w:val="22"/>
        </w:rPr>
        <w:t>va sukladno Ugovoru o dodjeli bespovratnih sredstava i Ugovoru o sufinanciranju za NPOO projekt naziva „Izgradnja komunalne infrastrukture na području pod nadležnošću KD VIK-a Rijeka  - 2.dio“ sklopljenog između Ministarstva gospodarstva i održivog razvoja, Hrvatskih voda, KD Vodovod i kanalizacija d.o.o. te Grada Bakra</w:t>
      </w:r>
      <w:r w:rsidR="0023277F">
        <w:rPr>
          <w:rFonts w:ascii="Aptos" w:hAnsi="Aptos" w:cstheme="minorHAnsi"/>
          <w:sz w:val="22"/>
          <w:szCs w:val="22"/>
        </w:rPr>
        <w:t xml:space="preserve">, kao i većih prihoda od komunalnog doprinosa i komunalne naknade </w:t>
      </w:r>
      <w:r w:rsidR="0023277F" w:rsidRPr="00F61B8D">
        <w:rPr>
          <w:rFonts w:ascii="Aptos" w:hAnsi="Aptos" w:cstheme="minorHAnsi"/>
          <w:sz w:val="22"/>
          <w:szCs w:val="22"/>
        </w:rPr>
        <w:t>kao posljedica veće gospodarske aktivnosti, kontinuiranih ulaganja i izgradnje novih poslovnih objekata i porasta broja gospodarskih subjekata na području Industrijske zone Kukuljanovo.</w:t>
      </w:r>
    </w:p>
    <w:p w14:paraId="373DD02F" w14:textId="68FDF229" w:rsidR="009D1DEC" w:rsidRPr="009D1DEC" w:rsidRDefault="009D1DEC" w:rsidP="009D1DEC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7F4F6B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4</w:t>
      </w:r>
      <w:r w:rsidRPr="007F4F6B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2AFB98A9" w14:textId="43BF4A51" w:rsidR="007F4F6B" w:rsidRDefault="007F4F6B" w:rsidP="007F4F6B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23277F">
        <w:rPr>
          <w:rFonts w:ascii="Aptos" w:hAnsi="Aptos" w:cstheme="minorHAnsi"/>
          <w:sz w:val="22"/>
          <w:szCs w:val="22"/>
        </w:rPr>
        <w:t xml:space="preserve">U Dječjem vrtiću Bakar ostvareni su ukupni prihodi u iznosu od </w:t>
      </w:r>
      <w:r w:rsidR="0023277F" w:rsidRPr="0023277F">
        <w:rPr>
          <w:rFonts w:ascii="Aptos" w:hAnsi="Aptos" w:cstheme="minorHAnsi"/>
          <w:sz w:val="22"/>
          <w:szCs w:val="22"/>
        </w:rPr>
        <w:t>963.163,28 €</w:t>
      </w:r>
      <w:r w:rsidRPr="0023277F">
        <w:rPr>
          <w:rFonts w:ascii="Aptos" w:hAnsi="Aptos" w:cstheme="minorHAnsi"/>
          <w:sz w:val="22"/>
          <w:szCs w:val="22"/>
        </w:rPr>
        <w:t xml:space="preserve">, od čega su postupkom konsolidacije obuhvaćeni prihodi od tekućih potpora Ministarstva znanosti, obrazovanja i sporta za provedbu obveznog programa predškole za djecu predškolske dobi u iznosu od </w:t>
      </w:r>
      <w:r w:rsidR="0023277F">
        <w:rPr>
          <w:rFonts w:ascii="Aptos" w:hAnsi="Aptos" w:cstheme="minorHAnsi"/>
          <w:sz w:val="22"/>
          <w:szCs w:val="22"/>
        </w:rPr>
        <w:t>1.836</w:t>
      </w:r>
      <w:r w:rsidR="001F06BD">
        <w:rPr>
          <w:rFonts w:ascii="Aptos" w:hAnsi="Aptos" w:cstheme="minorHAnsi"/>
          <w:sz w:val="22"/>
          <w:szCs w:val="22"/>
        </w:rPr>
        <w:t>,40 €</w:t>
      </w:r>
      <w:r w:rsidRPr="0023277F">
        <w:rPr>
          <w:rFonts w:ascii="Aptos" w:hAnsi="Aptos" w:cstheme="minorHAnsi"/>
          <w:sz w:val="22"/>
          <w:szCs w:val="22"/>
        </w:rPr>
        <w:t xml:space="preserve">, prihodi od sufinanciranja cijene usluge vrtića od roditelja i prema socijalnom programu u iznosu od </w:t>
      </w:r>
      <w:r w:rsidR="001F06BD" w:rsidRPr="007F4F6B">
        <w:rPr>
          <w:rFonts w:ascii="Aptos" w:hAnsi="Aptos" w:cstheme="minorHAnsi"/>
          <w:sz w:val="22"/>
          <w:szCs w:val="22"/>
        </w:rPr>
        <w:t>201.826,23</w:t>
      </w:r>
      <w:r w:rsidR="001F06BD" w:rsidRPr="001F06BD">
        <w:rPr>
          <w:rFonts w:ascii="Aptos" w:hAnsi="Aptos" w:cstheme="minorHAnsi"/>
          <w:sz w:val="22"/>
          <w:szCs w:val="22"/>
        </w:rPr>
        <w:t xml:space="preserve"> €</w:t>
      </w:r>
      <w:r w:rsidR="001F06BD">
        <w:rPr>
          <w:rFonts w:ascii="Aptos" w:hAnsi="Aptos" w:cstheme="minorHAnsi"/>
          <w:sz w:val="22"/>
          <w:szCs w:val="22"/>
        </w:rPr>
        <w:t xml:space="preserve">, </w:t>
      </w:r>
      <w:r w:rsidRPr="0023277F">
        <w:rPr>
          <w:rFonts w:ascii="Aptos" w:hAnsi="Aptos" w:cstheme="minorHAnsi"/>
          <w:sz w:val="22"/>
          <w:szCs w:val="22"/>
        </w:rPr>
        <w:t xml:space="preserve"> prihodi od </w:t>
      </w:r>
      <w:r w:rsidR="001F06BD">
        <w:rPr>
          <w:rFonts w:ascii="Aptos" w:hAnsi="Aptos" w:cstheme="minorHAnsi"/>
          <w:sz w:val="22"/>
          <w:szCs w:val="22"/>
        </w:rPr>
        <w:t xml:space="preserve">pruženih usluga i </w:t>
      </w:r>
      <w:r w:rsidRPr="0023277F">
        <w:rPr>
          <w:rFonts w:ascii="Aptos" w:hAnsi="Aptos" w:cstheme="minorHAnsi"/>
          <w:sz w:val="22"/>
          <w:szCs w:val="22"/>
        </w:rPr>
        <w:t xml:space="preserve">donacija u iznosu od </w:t>
      </w:r>
      <w:r w:rsidR="001F06BD">
        <w:rPr>
          <w:rFonts w:ascii="Aptos" w:hAnsi="Aptos" w:cstheme="minorHAnsi"/>
          <w:sz w:val="22"/>
          <w:szCs w:val="22"/>
        </w:rPr>
        <w:t>1.877,19 €</w:t>
      </w:r>
      <w:r w:rsidRPr="0023277F">
        <w:rPr>
          <w:rFonts w:ascii="Aptos" w:hAnsi="Aptos" w:cstheme="minorHAnsi"/>
          <w:sz w:val="22"/>
          <w:szCs w:val="22"/>
        </w:rPr>
        <w:t xml:space="preserve"> </w:t>
      </w:r>
      <w:r w:rsidR="001F06BD">
        <w:rPr>
          <w:rFonts w:ascii="Aptos" w:hAnsi="Aptos" w:cstheme="minorHAnsi"/>
          <w:sz w:val="22"/>
          <w:szCs w:val="22"/>
        </w:rPr>
        <w:t>te ostali prihodi od 492,62 €</w:t>
      </w:r>
      <w:r w:rsidRPr="0023277F">
        <w:rPr>
          <w:rFonts w:ascii="Aptos" w:hAnsi="Aptos" w:cstheme="minorHAnsi"/>
          <w:sz w:val="22"/>
          <w:szCs w:val="22"/>
        </w:rPr>
        <w:t>.</w:t>
      </w:r>
    </w:p>
    <w:p w14:paraId="3D88122F" w14:textId="58A2C7F0" w:rsidR="009D1DEC" w:rsidRPr="009D1DEC" w:rsidRDefault="009D1DEC" w:rsidP="009D1DEC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7F4F6B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5</w:t>
      </w:r>
      <w:r w:rsidRPr="007F4F6B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395302E2" w14:textId="5455E053" w:rsidR="001F06BD" w:rsidRDefault="007F4F6B" w:rsidP="007F4F6B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1F06BD">
        <w:rPr>
          <w:rFonts w:ascii="Aptos" w:hAnsi="Aptos" w:cstheme="minorHAnsi"/>
          <w:sz w:val="22"/>
          <w:szCs w:val="22"/>
        </w:rPr>
        <w:t xml:space="preserve">Ukupni prihodi Gradske knjižnice Bakar iznose </w:t>
      </w:r>
      <w:r w:rsidR="001F06BD" w:rsidRPr="001F06BD">
        <w:rPr>
          <w:rFonts w:ascii="Aptos" w:hAnsi="Aptos" w:cstheme="minorHAnsi"/>
          <w:sz w:val="22"/>
          <w:szCs w:val="22"/>
        </w:rPr>
        <w:t>112.184,11 €</w:t>
      </w:r>
      <w:r w:rsidRPr="001F06BD">
        <w:rPr>
          <w:rFonts w:ascii="Aptos" w:hAnsi="Aptos" w:cstheme="minorHAnsi"/>
          <w:sz w:val="22"/>
          <w:szCs w:val="22"/>
        </w:rPr>
        <w:t xml:space="preserve">, od čega su konsolidacijom obuhvaćeni prihodi od kapitalne pomoći Ministarstva kulture u iznosu od </w:t>
      </w:r>
      <w:r w:rsidR="001F06BD" w:rsidRPr="001F06BD">
        <w:rPr>
          <w:rFonts w:ascii="Aptos" w:hAnsi="Aptos" w:cstheme="minorHAnsi"/>
          <w:sz w:val="22"/>
          <w:szCs w:val="22"/>
        </w:rPr>
        <w:t>8.145,30 €</w:t>
      </w:r>
      <w:r w:rsidRPr="001F06BD">
        <w:rPr>
          <w:rFonts w:ascii="Aptos" w:hAnsi="Aptos" w:cstheme="minorHAnsi"/>
          <w:sz w:val="22"/>
          <w:szCs w:val="22"/>
        </w:rPr>
        <w:t xml:space="preserve"> za </w:t>
      </w:r>
      <w:r w:rsidR="001F06BD" w:rsidRPr="001F06BD">
        <w:rPr>
          <w:rFonts w:ascii="Aptos" w:hAnsi="Aptos" w:cstheme="minorHAnsi"/>
          <w:sz w:val="22"/>
          <w:szCs w:val="22"/>
        </w:rPr>
        <w:t xml:space="preserve">program otkupa i </w:t>
      </w:r>
      <w:r w:rsidRPr="001F06BD">
        <w:rPr>
          <w:rFonts w:ascii="Aptos" w:hAnsi="Aptos" w:cstheme="minorHAnsi"/>
          <w:sz w:val="22"/>
          <w:szCs w:val="22"/>
        </w:rPr>
        <w:t xml:space="preserve">nabavu knjižnične i neknjižnične građe, prihodi od članarina, zakasnina, korištenja interneta i sl. u iznosu od </w:t>
      </w:r>
      <w:r w:rsidR="001F06BD" w:rsidRPr="001F06BD">
        <w:rPr>
          <w:rFonts w:ascii="Aptos" w:hAnsi="Aptos" w:cstheme="minorHAnsi"/>
          <w:sz w:val="22"/>
          <w:szCs w:val="22"/>
        </w:rPr>
        <w:t>1.060,07 €</w:t>
      </w:r>
      <w:r w:rsidRPr="001F06BD">
        <w:rPr>
          <w:rFonts w:ascii="Aptos" w:hAnsi="Aptos" w:cstheme="minorHAnsi"/>
          <w:sz w:val="22"/>
          <w:szCs w:val="22"/>
        </w:rPr>
        <w:t xml:space="preserve">, prihodi od prodaje knjiga od </w:t>
      </w:r>
      <w:r w:rsidR="001F06BD" w:rsidRPr="001F06BD">
        <w:rPr>
          <w:rFonts w:ascii="Aptos" w:hAnsi="Aptos" w:cstheme="minorHAnsi"/>
          <w:sz w:val="22"/>
          <w:szCs w:val="22"/>
        </w:rPr>
        <w:t>191,18 €</w:t>
      </w:r>
      <w:r w:rsidRPr="001F06BD">
        <w:rPr>
          <w:rFonts w:ascii="Aptos" w:hAnsi="Aptos" w:cstheme="minorHAnsi"/>
          <w:sz w:val="22"/>
          <w:szCs w:val="22"/>
        </w:rPr>
        <w:t xml:space="preserve">, prihodi od donacija u iznosu od </w:t>
      </w:r>
      <w:r w:rsidR="001F06BD" w:rsidRPr="001F06BD">
        <w:rPr>
          <w:rFonts w:ascii="Aptos" w:hAnsi="Aptos" w:cstheme="minorHAnsi"/>
          <w:sz w:val="22"/>
          <w:szCs w:val="22"/>
        </w:rPr>
        <w:t>6.408,00 € koje se odnose na donaciju knjiga koje su nakon katalogizacije i inventarizacije upisane u imovinu.</w:t>
      </w:r>
    </w:p>
    <w:p w14:paraId="5B172085" w14:textId="77777777" w:rsidR="00B02924" w:rsidRPr="00B02924" w:rsidRDefault="00B02924" w:rsidP="00B029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B02924">
        <w:rPr>
          <w:rFonts w:ascii="Aptos" w:hAnsi="Aptos" w:cstheme="minorHAnsi"/>
          <w:b/>
          <w:sz w:val="22"/>
          <w:szCs w:val="22"/>
        </w:rPr>
        <w:t>ŠIFRA 3, 4 I 5 - RASHODI I IZDACI</w:t>
      </w:r>
    </w:p>
    <w:p w14:paraId="21477B90" w14:textId="7BC4E4F7" w:rsidR="00B02924" w:rsidRPr="00B02924" w:rsidRDefault="00B02924" w:rsidP="00B02924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B02924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9D1DEC">
        <w:rPr>
          <w:rFonts w:ascii="Aptos" w:hAnsi="Aptos" w:cs="Calibri"/>
          <w:b/>
          <w:bCs/>
          <w:color w:val="000000"/>
          <w:sz w:val="22"/>
          <w:szCs w:val="22"/>
        </w:rPr>
        <w:t>6</w:t>
      </w:r>
      <w:r w:rsidRPr="00B02924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E5C16B5" w14:textId="11896B41" w:rsidR="00B02924" w:rsidRPr="00345FE6" w:rsidRDefault="00B02924" w:rsidP="00345FE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345FE6">
        <w:rPr>
          <w:rFonts w:ascii="Aptos" w:hAnsi="Aptos" w:cstheme="minorHAnsi"/>
          <w:sz w:val="22"/>
          <w:szCs w:val="22"/>
        </w:rPr>
        <w:t>Ukupno konsolidirani rashodi i izdaci Grada Bakra – šifra Y345 za razdoblje od 01. siječnja do 31. prosinca 202</w:t>
      </w:r>
      <w:r w:rsidR="00345FE6" w:rsidRPr="00345FE6">
        <w:rPr>
          <w:rFonts w:ascii="Aptos" w:hAnsi="Aptos" w:cstheme="minorHAnsi"/>
          <w:sz w:val="22"/>
          <w:szCs w:val="22"/>
        </w:rPr>
        <w:t>3</w:t>
      </w:r>
      <w:r w:rsidRPr="00345FE6">
        <w:rPr>
          <w:rFonts w:ascii="Aptos" w:hAnsi="Aptos" w:cstheme="minorHAnsi"/>
          <w:sz w:val="22"/>
          <w:szCs w:val="22"/>
        </w:rPr>
        <w:t xml:space="preserve">. godine iznose </w:t>
      </w:r>
      <w:r w:rsidR="00345FE6" w:rsidRPr="00345FE6">
        <w:rPr>
          <w:rFonts w:ascii="Aptos" w:hAnsi="Aptos" w:cstheme="minorHAnsi"/>
          <w:sz w:val="22"/>
          <w:szCs w:val="22"/>
        </w:rPr>
        <w:t>10.857.473,88 €, što je za 6,</w:t>
      </w:r>
      <w:r w:rsidR="00EB4D5B">
        <w:rPr>
          <w:rFonts w:ascii="Aptos" w:hAnsi="Aptos" w:cstheme="minorHAnsi"/>
          <w:sz w:val="22"/>
          <w:szCs w:val="22"/>
        </w:rPr>
        <w:t>5</w:t>
      </w:r>
      <w:r w:rsidR="00345FE6" w:rsidRPr="00345FE6">
        <w:rPr>
          <w:rFonts w:ascii="Aptos" w:hAnsi="Aptos" w:cstheme="minorHAnsi"/>
          <w:sz w:val="22"/>
          <w:szCs w:val="22"/>
        </w:rPr>
        <w:t xml:space="preserve">% manje </w:t>
      </w:r>
      <w:r w:rsidRPr="00345FE6">
        <w:rPr>
          <w:rFonts w:ascii="Aptos" w:hAnsi="Aptos" w:cstheme="minorHAnsi"/>
          <w:sz w:val="22"/>
          <w:szCs w:val="22"/>
        </w:rPr>
        <w:t>u odnosu na ostvarene rashode i izdatke 202</w:t>
      </w:r>
      <w:r w:rsidR="00345FE6" w:rsidRPr="00345FE6">
        <w:rPr>
          <w:rFonts w:ascii="Aptos" w:hAnsi="Aptos" w:cstheme="minorHAnsi"/>
          <w:sz w:val="22"/>
          <w:szCs w:val="22"/>
        </w:rPr>
        <w:t>2</w:t>
      </w:r>
      <w:r w:rsidRPr="00345FE6">
        <w:rPr>
          <w:rFonts w:ascii="Aptos" w:hAnsi="Aptos" w:cstheme="minorHAnsi"/>
          <w:sz w:val="22"/>
          <w:szCs w:val="22"/>
        </w:rPr>
        <w:t>. godine.</w:t>
      </w:r>
    </w:p>
    <w:tbl>
      <w:tblPr>
        <w:tblW w:w="9498" w:type="dxa"/>
        <w:tblInd w:w="-426" w:type="dxa"/>
        <w:tblLook w:val="04A0" w:firstRow="1" w:lastRow="0" w:firstColumn="1" w:lastColumn="0" w:noHBand="0" w:noVBand="1"/>
      </w:tblPr>
      <w:tblGrid>
        <w:gridCol w:w="892"/>
        <w:gridCol w:w="2653"/>
        <w:gridCol w:w="1512"/>
        <w:gridCol w:w="1606"/>
        <w:gridCol w:w="1560"/>
        <w:gridCol w:w="1340"/>
      </w:tblGrid>
      <w:tr w:rsidR="00345FE6" w:rsidRPr="00345FE6" w14:paraId="1EAC7CEA" w14:textId="77777777" w:rsidTr="00345FE6">
        <w:trPr>
          <w:trHeight w:val="276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1EF6" w14:textId="77777777" w:rsidR="00345FE6" w:rsidRPr="00345FE6" w:rsidRDefault="00345FE6" w:rsidP="00345FE6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RASHODI I IZDACI IZ KONSOLIDACIJE FINANCIJSKOG IZVJEŠTAJA 2023-12</w:t>
            </w:r>
          </w:p>
        </w:tc>
      </w:tr>
      <w:tr w:rsidR="00345FE6" w:rsidRPr="00345FE6" w14:paraId="5AB84C0B" w14:textId="77777777" w:rsidTr="00345FE6">
        <w:trPr>
          <w:trHeight w:val="552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40E3AA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6AD59D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B91AE3E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 BAKAR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D661EE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DJEČJI VRTIĆ BAKAR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177C664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GRADSKA KNJIŽNICA BAKAR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02EFDA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345FE6" w:rsidRPr="00345FE6" w14:paraId="408EF0D1" w14:textId="77777777" w:rsidTr="00345FE6">
        <w:trPr>
          <w:trHeight w:val="276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37A2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2270" w14:textId="77777777" w:rsidR="00345FE6" w:rsidRPr="00345FE6" w:rsidRDefault="00345FE6" w:rsidP="00345FE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DB69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516.848,67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11E1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744.651,94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AA33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58.213,30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289D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1.319.713,91</w:t>
            </w:r>
          </w:p>
        </w:tc>
      </w:tr>
      <w:tr w:rsidR="00345FE6" w:rsidRPr="00345FE6" w14:paraId="240401A2" w14:textId="77777777" w:rsidTr="00345FE6">
        <w:trPr>
          <w:trHeight w:val="276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5D57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9D29" w14:textId="77777777" w:rsidR="00345FE6" w:rsidRPr="00345FE6" w:rsidRDefault="00345FE6" w:rsidP="00345FE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FD79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2.756.147,68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BAB0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207.646,52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C077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29.284,79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567F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2.993.078,99</w:t>
            </w:r>
          </w:p>
        </w:tc>
      </w:tr>
      <w:tr w:rsidR="00345FE6" w:rsidRPr="00345FE6" w14:paraId="5EA4B142" w14:textId="77777777" w:rsidTr="00345FE6">
        <w:trPr>
          <w:trHeight w:val="276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5FDE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B471" w14:textId="77777777" w:rsidR="00345FE6" w:rsidRPr="00345FE6" w:rsidRDefault="00345FE6" w:rsidP="00345FE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495D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18.865,62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476F" w14:textId="6AABA60D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2E36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B300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18.865,62</w:t>
            </w:r>
          </w:p>
        </w:tc>
      </w:tr>
      <w:tr w:rsidR="00345FE6" w:rsidRPr="00345FE6" w14:paraId="36BB987B" w14:textId="77777777" w:rsidTr="00345FE6">
        <w:trPr>
          <w:trHeight w:val="276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1BE6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281C" w14:textId="77777777" w:rsidR="00345FE6" w:rsidRPr="00345FE6" w:rsidRDefault="00345FE6" w:rsidP="00345FE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A732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356.863,80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E7A7" w14:textId="7A093BBB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DE3D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ABA4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356.863,80</w:t>
            </w:r>
          </w:p>
        </w:tc>
      </w:tr>
      <w:tr w:rsidR="00345FE6" w:rsidRPr="00345FE6" w14:paraId="484FC801" w14:textId="77777777" w:rsidTr="00345FE6">
        <w:trPr>
          <w:trHeight w:val="552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81B8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E6447" w14:textId="77777777" w:rsidR="00345FE6" w:rsidRPr="00345FE6" w:rsidRDefault="00345FE6" w:rsidP="00345FE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Pomoći dane unutar općeg proračuna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0256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141.628,25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718A" w14:textId="70066DC3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7BDE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F173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141.628,25</w:t>
            </w:r>
          </w:p>
        </w:tc>
      </w:tr>
      <w:tr w:rsidR="00345FE6" w:rsidRPr="00345FE6" w14:paraId="3E5ED74E" w14:textId="77777777" w:rsidTr="00345FE6">
        <w:trPr>
          <w:trHeight w:val="276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B8B0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081C" w14:textId="77777777" w:rsidR="00345FE6" w:rsidRPr="00345FE6" w:rsidRDefault="00345FE6" w:rsidP="00345FE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Naknade građanima i kućanstvima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01A6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686.249,97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113A" w14:textId="2F86EB23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A255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5C90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686.249,97</w:t>
            </w:r>
          </w:p>
        </w:tc>
      </w:tr>
      <w:tr w:rsidR="00345FE6" w:rsidRPr="00345FE6" w14:paraId="71CF10EE" w14:textId="77777777" w:rsidTr="00345FE6">
        <w:trPr>
          <w:trHeight w:val="276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A0C1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E8A5" w14:textId="77777777" w:rsidR="00345FE6" w:rsidRPr="00345FE6" w:rsidRDefault="00345FE6" w:rsidP="00345FE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0EA8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865.063,86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21AB" w14:textId="7A18FC6E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6068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53F7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865.063,86</w:t>
            </w:r>
          </w:p>
        </w:tc>
      </w:tr>
      <w:tr w:rsidR="00345FE6" w:rsidRPr="00345FE6" w14:paraId="66D55299" w14:textId="77777777" w:rsidTr="00345FE6">
        <w:trPr>
          <w:trHeight w:val="276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C97160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0F2D8A" w14:textId="77777777" w:rsidR="00345FE6" w:rsidRPr="00345FE6" w:rsidRDefault="00345FE6" w:rsidP="00345FE6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52F3C8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5.341.667,85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5F01AC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952.298,46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CFD7F0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87.498,09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9BCB5C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6.381.464,40</w:t>
            </w:r>
          </w:p>
        </w:tc>
      </w:tr>
      <w:tr w:rsidR="00345FE6" w:rsidRPr="00345FE6" w14:paraId="140490E8" w14:textId="77777777" w:rsidTr="00345FE6">
        <w:trPr>
          <w:trHeight w:val="828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B10B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AB755" w14:textId="77777777" w:rsidR="00345FE6" w:rsidRPr="00345FE6" w:rsidRDefault="00345FE6" w:rsidP="00345FE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0487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318.463,42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A847" w14:textId="57968E1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81BC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F040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318.463,42</w:t>
            </w:r>
          </w:p>
        </w:tc>
      </w:tr>
      <w:tr w:rsidR="00345FE6" w:rsidRPr="00345FE6" w14:paraId="514D95E7" w14:textId="77777777" w:rsidTr="00345FE6">
        <w:trPr>
          <w:trHeight w:val="552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DCF7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4AA8D" w14:textId="77777777" w:rsidR="00345FE6" w:rsidRPr="00345FE6" w:rsidRDefault="00345FE6" w:rsidP="00345FE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AD40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3.388.413,81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5BC6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11.655,25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8783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25.779,40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5222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3.425.848,46</w:t>
            </w:r>
          </w:p>
        </w:tc>
      </w:tr>
      <w:tr w:rsidR="00345FE6" w:rsidRPr="00345FE6" w14:paraId="1F9990B9" w14:textId="77777777" w:rsidTr="00345FE6">
        <w:trPr>
          <w:trHeight w:val="828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978F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F1E38" w14:textId="77777777" w:rsidR="00345FE6" w:rsidRPr="00345FE6" w:rsidRDefault="00345FE6" w:rsidP="00345FE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Rashodi za nabavu plemenitih metala i ostalih pohranjenih vrijednosti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18F1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12.939,13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C425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9D2E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AA1A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12.939,13</w:t>
            </w:r>
          </w:p>
        </w:tc>
      </w:tr>
      <w:tr w:rsidR="00345FE6" w:rsidRPr="00345FE6" w14:paraId="0C8A758F" w14:textId="77777777" w:rsidTr="00345FE6">
        <w:trPr>
          <w:trHeight w:val="552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C48C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E29AB" w14:textId="77777777" w:rsidR="00345FE6" w:rsidRPr="00345FE6" w:rsidRDefault="00345FE6" w:rsidP="00345FE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53CD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527.638,48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884F" w14:textId="7F7DD55B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1851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9831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527.638,48</w:t>
            </w:r>
          </w:p>
        </w:tc>
      </w:tr>
      <w:tr w:rsidR="00345FE6" w:rsidRPr="00345FE6" w14:paraId="4CA0DAA2" w14:textId="77777777" w:rsidTr="00345FE6">
        <w:trPr>
          <w:trHeight w:val="552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CC95B0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1975741" w14:textId="77777777" w:rsidR="00345FE6" w:rsidRPr="00345FE6" w:rsidRDefault="00345FE6" w:rsidP="00345FE6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FB3C0C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4.247.454,84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3B4D43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11.655,25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0FBFF6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25.779,40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43F1D1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4.284.889,49</w:t>
            </w:r>
          </w:p>
        </w:tc>
      </w:tr>
      <w:tr w:rsidR="00345FE6" w:rsidRPr="00345FE6" w14:paraId="09D122BB" w14:textId="77777777" w:rsidTr="00345FE6">
        <w:trPr>
          <w:trHeight w:val="276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4E6B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D4959" w14:textId="77777777" w:rsidR="00345FE6" w:rsidRPr="00345FE6" w:rsidRDefault="00345FE6" w:rsidP="00345FE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Izdaci za otplatu glavnice kredita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9314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191.119,99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457F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142C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9934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color w:val="000000"/>
                <w:sz w:val="18"/>
                <w:szCs w:val="18"/>
              </w:rPr>
              <w:t>191.119,99</w:t>
            </w:r>
          </w:p>
        </w:tc>
      </w:tr>
      <w:tr w:rsidR="00345FE6" w:rsidRPr="00345FE6" w14:paraId="08EA8FA2" w14:textId="77777777" w:rsidTr="00345FE6">
        <w:trPr>
          <w:trHeight w:val="552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2E144F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DCDF343" w14:textId="77777777" w:rsidR="00345FE6" w:rsidRPr="00345FE6" w:rsidRDefault="00345FE6" w:rsidP="00345FE6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FA4600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191.119,99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C5C6728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EE5EB7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6B495FA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191.119,99</w:t>
            </w:r>
          </w:p>
        </w:tc>
      </w:tr>
      <w:tr w:rsidR="00345FE6" w:rsidRPr="00345FE6" w14:paraId="1754788A" w14:textId="77777777" w:rsidTr="00345FE6">
        <w:trPr>
          <w:trHeight w:val="276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94FE6A" w14:textId="77777777" w:rsidR="00345FE6" w:rsidRPr="00345FE6" w:rsidRDefault="00345FE6" w:rsidP="00345FE6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F0E3B3" w14:textId="77777777" w:rsidR="00345FE6" w:rsidRPr="00345FE6" w:rsidRDefault="00345FE6" w:rsidP="00345FE6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 RASHODI I IZDACI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5C36E6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9.780.242,68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B2EC78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963.953,71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26AC69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113.277,49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0F283" w14:textId="77777777" w:rsidR="00345FE6" w:rsidRPr="00345FE6" w:rsidRDefault="00345FE6" w:rsidP="00345FE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345FE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10.857.473,88</w:t>
            </w:r>
          </w:p>
        </w:tc>
      </w:tr>
    </w:tbl>
    <w:p w14:paraId="1F8FD36F" w14:textId="0F0939F4" w:rsidR="00345FE6" w:rsidRPr="003C3358" w:rsidRDefault="00345FE6" w:rsidP="003C3358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3C3358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9D1DEC">
        <w:rPr>
          <w:rFonts w:ascii="Aptos" w:hAnsi="Aptos" w:cs="Calibri"/>
          <w:b/>
          <w:bCs/>
          <w:color w:val="000000"/>
          <w:sz w:val="22"/>
          <w:szCs w:val="22"/>
        </w:rPr>
        <w:t>7</w:t>
      </w:r>
      <w:r w:rsidRPr="003C3358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00C75837" w14:textId="73D6A397" w:rsidR="00345FE6" w:rsidRPr="003C3358" w:rsidRDefault="00345FE6" w:rsidP="00345FE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3C3358">
        <w:rPr>
          <w:rFonts w:ascii="Aptos" w:hAnsi="Aptos" w:cstheme="minorHAnsi"/>
          <w:sz w:val="22"/>
          <w:szCs w:val="22"/>
        </w:rPr>
        <w:t xml:space="preserve">Rashodi i izdaci Grada Bakra za ovo izvještajno razdoblje 2023. godine iznose 9.780.242,68 €, što predstavlja smanjenje za 8,85% u odnosu na prošlu godinu, prvenstveno iz razloga manjih rashoda  </w:t>
      </w:r>
      <w:r w:rsidR="003C3358" w:rsidRPr="003C3358">
        <w:rPr>
          <w:rFonts w:ascii="Aptos" w:hAnsi="Aptos" w:cstheme="minorHAnsi"/>
          <w:sz w:val="22"/>
          <w:szCs w:val="22"/>
        </w:rPr>
        <w:t>za nabavu proizvedene dugotrajne imovine i dodatnih ulaganja u izgradnju komunalne, prometne i društvene infrastrukture.</w:t>
      </w:r>
    </w:p>
    <w:p w14:paraId="33251625" w14:textId="6464DF36" w:rsidR="00345FE6" w:rsidRPr="0080791A" w:rsidRDefault="00345FE6" w:rsidP="00345FE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80791A">
        <w:rPr>
          <w:rFonts w:ascii="Aptos" w:hAnsi="Aptos" w:cstheme="minorHAnsi"/>
          <w:sz w:val="22"/>
          <w:szCs w:val="22"/>
        </w:rPr>
        <w:t xml:space="preserve">U Dječjem vrtiću Bakar ostvareni su ukupni rashodi u iznosu od </w:t>
      </w:r>
      <w:r w:rsidR="003C3358" w:rsidRPr="0080791A">
        <w:rPr>
          <w:rFonts w:ascii="Aptos" w:hAnsi="Aptos" w:cstheme="minorHAnsi"/>
          <w:sz w:val="22"/>
          <w:szCs w:val="22"/>
        </w:rPr>
        <w:t>963.953,71 €</w:t>
      </w:r>
      <w:r w:rsidRPr="0080791A">
        <w:rPr>
          <w:rFonts w:ascii="Aptos" w:hAnsi="Aptos" w:cstheme="minorHAnsi"/>
          <w:sz w:val="22"/>
          <w:szCs w:val="22"/>
        </w:rPr>
        <w:t xml:space="preserve">, od čega su konsolidiranim obračunom obuhvaćeni rashodi koji se financiraju iz vlastitih prihoda u iznosu od </w:t>
      </w:r>
      <w:r w:rsidR="0080791A" w:rsidRPr="0080791A">
        <w:rPr>
          <w:rFonts w:ascii="Aptos" w:hAnsi="Aptos" w:cstheme="minorHAnsi"/>
          <w:sz w:val="22"/>
          <w:szCs w:val="22"/>
        </w:rPr>
        <w:t>206.822,87 €</w:t>
      </w:r>
      <w:r w:rsidRPr="0080791A">
        <w:rPr>
          <w:rFonts w:ascii="Aptos" w:hAnsi="Aptos" w:cstheme="minorHAnsi"/>
          <w:sz w:val="22"/>
          <w:szCs w:val="22"/>
        </w:rPr>
        <w:t>.</w:t>
      </w:r>
    </w:p>
    <w:p w14:paraId="30CF62FB" w14:textId="41337BBA" w:rsidR="00345FE6" w:rsidRPr="0080791A" w:rsidRDefault="00345FE6" w:rsidP="00345FE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80791A">
        <w:rPr>
          <w:rFonts w:ascii="Aptos" w:hAnsi="Aptos" w:cstheme="minorHAnsi"/>
          <w:sz w:val="22"/>
          <w:szCs w:val="22"/>
        </w:rPr>
        <w:t xml:space="preserve">Ukupni rashodi Gradske knjižnice Bakar iznose </w:t>
      </w:r>
      <w:r w:rsidR="0080791A" w:rsidRPr="0080791A">
        <w:rPr>
          <w:rFonts w:ascii="Aptos" w:hAnsi="Aptos" w:cstheme="minorHAnsi"/>
          <w:sz w:val="22"/>
          <w:szCs w:val="22"/>
        </w:rPr>
        <w:t>113.277,49 €</w:t>
      </w:r>
      <w:r w:rsidRPr="0080791A">
        <w:rPr>
          <w:rFonts w:ascii="Aptos" w:hAnsi="Aptos" w:cstheme="minorHAnsi"/>
          <w:sz w:val="22"/>
          <w:szCs w:val="22"/>
        </w:rPr>
        <w:t xml:space="preserve">, od čega su konsolidiranim obračunom obuhvaćeni rashodi koji se financiraju iz vlastitih prihoda Gradske knjižnice u iznosu od </w:t>
      </w:r>
      <w:r w:rsidR="0080791A" w:rsidRPr="0080791A">
        <w:rPr>
          <w:rFonts w:ascii="Aptos" w:hAnsi="Aptos" w:cstheme="minorHAnsi"/>
          <w:sz w:val="22"/>
          <w:szCs w:val="22"/>
        </w:rPr>
        <w:t>16.897,93 €</w:t>
      </w:r>
      <w:r w:rsidRPr="0080791A">
        <w:rPr>
          <w:rFonts w:ascii="Aptos" w:hAnsi="Aptos" w:cstheme="minorHAnsi"/>
          <w:sz w:val="22"/>
          <w:szCs w:val="22"/>
        </w:rPr>
        <w:t xml:space="preserve">. </w:t>
      </w:r>
    </w:p>
    <w:p w14:paraId="1F151359" w14:textId="71505AD5" w:rsidR="00345FE6" w:rsidRPr="0080791A" w:rsidRDefault="00345FE6" w:rsidP="0080791A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80791A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9D1DEC">
        <w:rPr>
          <w:rFonts w:ascii="Aptos" w:hAnsi="Aptos" w:cs="Calibri"/>
          <w:b/>
          <w:bCs/>
          <w:color w:val="000000"/>
          <w:sz w:val="22"/>
          <w:szCs w:val="22"/>
        </w:rPr>
        <w:t>8</w:t>
      </w:r>
      <w:r w:rsidRPr="0080791A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069400D9" w14:textId="77777777" w:rsidR="00345FE6" w:rsidRPr="0080791A" w:rsidRDefault="00345FE6" w:rsidP="00345FE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80791A">
        <w:rPr>
          <w:rFonts w:ascii="Aptos" w:hAnsi="Aptos" w:cstheme="minorHAnsi"/>
          <w:sz w:val="22"/>
          <w:szCs w:val="22"/>
        </w:rPr>
        <w:t>U izvještaju o prihodima, rashodima, primicima i izdacima eliminirane su unutargrupne transakcije kako je prikazano u nastavku.</w:t>
      </w:r>
    </w:p>
    <w:tbl>
      <w:tblPr>
        <w:tblW w:w="9498" w:type="dxa"/>
        <w:tblInd w:w="-426" w:type="dxa"/>
        <w:tblLook w:val="04A0" w:firstRow="1" w:lastRow="0" w:firstColumn="1" w:lastColumn="0" w:noHBand="0" w:noVBand="1"/>
      </w:tblPr>
      <w:tblGrid>
        <w:gridCol w:w="852"/>
        <w:gridCol w:w="2693"/>
        <w:gridCol w:w="1559"/>
        <w:gridCol w:w="1701"/>
        <w:gridCol w:w="1701"/>
        <w:gridCol w:w="1089"/>
      </w:tblGrid>
      <w:tr w:rsidR="0080791A" w:rsidRPr="0080791A" w14:paraId="2683A660" w14:textId="77777777" w:rsidTr="0080791A">
        <w:trPr>
          <w:trHeight w:val="276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7F83" w14:textId="77777777" w:rsidR="0080791A" w:rsidRPr="0080791A" w:rsidRDefault="0080791A" w:rsidP="0080791A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UNUTARGRUPNE TRANSAKCIJE ELIMINIRANE U FINANCIJSKOM IZVJEŠTAJU 2023-12</w:t>
            </w:r>
          </w:p>
        </w:tc>
      </w:tr>
      <w:tr w:rsidR="0080791A" w:rsidRPr="0080791A" w14:paraId="0A1DB848" w14:textId="77777777" w:rsidTr="0080791A">
        <w:trPr>
          <w:trHeight w:val="552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9265ED" w14:textId="77777777" w:rsidR="0080791A" w:rsidRPr="0080791A" w:rsidRDefault="0080791A" w:rsidP="0080791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5CFFA7" w14:textId="77777777" w:rsidR="0080791A" w:rsidRPr="0080791A" w:rsidRDefault="0080791A" w:rsidP="0080791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C8793F" w14:textId="77777777" w:rsidR="0080791A" w:rsidRPr="0080791A" w:rsidRDefault="0080791A" w:rsidP="0080791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 BAKAR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9E0159E" w14:textId="77777777" w:rsidR="0080791A" w:rsidRPr="0080791A" w:rsidRDefault="0080791A" w:rsidP="0080791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DJEČJI VRTIĆ BAKAR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4AA1CEC" w14:textId="77777777" w:rsidR="0080791A" w:rsidRPr="0080791A" w:rsidRDefault="0080791A" w:rsidP="0080791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GRADSKA KNJIŽNICA BAKAR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24715C" w14:textId="77777777" w:rsidR="0080791A" w:rsidRPr="0080791A" w:rsidRDefault="0080791A" w:rsidP="0080791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80791A" w:rsidRPr="0080791A" w14:paraId="13D196AD" w14:textId="77777777" w:rsidTr="0080791A">
        <w:trPr>
          <w:trHeight w:val="82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5E2D" w14:textId="77777777" w:rsidR="0080791A" w:rsidRPr="0080791A" w:rsidRDefault="0080791A" w:rsidP="0080791A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6711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0AAC8" w14:textId="77777777" w:rsidR="0080791A" w:rsidRPr="0080791A" w:rsidRDefault="0080791A" w:rsidP="0080791A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Prihodi iz nadležnog proračuna za financiranje rashoda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8A9C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2EE2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757.130,84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4E06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86.858,01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FF51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843.988,85</w:t>
            </w:r>
          </w:p>
        </w:tc>
      </w:tr>
      <w:tr w:rsidR="0080791A" w:rsidRPr="0080791A" w14:paraId="28C0D8D4" w14:textId="77777777" w:rsidTr="0080791A">
        <w:trPr>
          <w:trHeight w:val="82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32ED" w14:textId="77777777" w:rsidR="0080791A" w:rsidRPr="0080791A" w:rsidRDefault="0080791A" w:rsidP="0080791A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6712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4A442" w14:textId="77777777" w:rsidR="0080791A" w:rsidRPr="0080791A" w:rsidRDefault="0080791A" w:rsidP="0080791A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Prihodi iz nadležnog proračuna za financiranje rashoda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62FA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D2FB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CFEF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9.521,55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DB1D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9.521,55</w:t>
            </w:r>
          </w:p>
        </w:tc>
      </w:tr>
      <w:tr w:rsidR="0080791A" w:rsidRPr="0080791A" w14:paraId="0397175E" w14:textId="77777777" w:rsidTr="0080791A">
        <w:trPr>
          <w:trHeight w:val="110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0912" w14:textId="77777777" w:rsidR="0080791A" w:rsidRPr="0080791A" w:rsidRDefault="0080791A" w:rsidP="0080791A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3672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7B907" w14:textId="77777777" w:rsidR="0080791A" w:rsidRPr="0080791A" w:rsidRDefault="0080791A" w:rsidP="0080791A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Prijenosi proračunskim korisnicima iz nadležnog proračuna za financiranje rashoda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11F1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843.988,85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2091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4898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DAF7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843.988,85</w:t>
            </w:r>
          </w:p>
        </w:tc>
      </w:tr>
      <w:tr w:rsidR="0080791A" w:rsidRPr="0080791A" w14:paraId="5ACA0C25" w14:textId="77777777" w:rsidTr="0080791A">
        <w:trPr>
          <w:trHeight w:val="110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1843" w14:textId="77777777" w:rsidR="0080791A" w:rsidRPr="0080791A" w:rsidRDefault="0080791A" w:rsidP="0080791A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3673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79522" w14:textId="77777777" w:rsidR="0080791A" w:rsidRPr="0080791A" w:rsidRDefault="0080791A" w:rsidP="0080791A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Prijenosi proračunskim korisnicima iz nadležnog proračuna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2E89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9.521,55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4144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C584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1D84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color w:val="000000"/>
                <w:sz w:val="18"/>
                <w:szCs w:val="18"/>
              </w:rPr>
              <w:t>9.521,55</w:t>
            </w:r>
          </w:p>
        </w:tc>
      </w:tr>
      <w:tr w:rsidR="0080791A" w:rsidRPr="0080791A" w14:paraId="2C2F0F83" w14:textId="77777777" w:rsidTr="0080791A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40D451" w14:textId="77777777" w:rsidR="0080791A" w:rsidRPr="0080791A" w:rsidRDefault="0080791A" w:rsidP="0080791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61DD7FB" w14:textId="77777777" w:rsidR="0080791A" w:rsidRPr="0080791A" w:rsidRDefault="0080791A" w:rsidP="0080791A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RAZLIKA (671-367)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F386A3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-853.510,40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80D582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757.130,84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8BC234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96.379,56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A626E6" w14:textId="77777777" w:rsidR="0080791A" w:rsidRPr="0080791A" w:rsidRDefault="0080791A" w:rsidP="0080791A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80791A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2A34AA18" w14:textId="27B23B2F" w:rsidR="00175F51" w:rsidRPr="00C548DE" w:rsidRDefault="00175F51" w:rsidP="00175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lastRenderedPageBreak/>
        <w:t>Š</w:t>
      </w:r>
      <w:r w:rsidRPr="00175F51">
        <w:rPr>
          <w:rFonts w:ascii="Aptos" w:hAnsi="Aptos" w:cstheme="minorHAnsi"/>
          <w:b/>
          <w:sz w:val="22"/>
          <w:szCs w:val="22"/>
        </w:rPr>
        <w:t>IFRA X00</w:t>
      </w:r>
      <w:r w:rsidR="00EB4D5B">
        <w:rPr>
          <w:rFonts w:ascii="Aptos" w:hAnsi="Aptos" w:cstheme="minorHAnsi"/>
          <w:b/>
          <w:sz w:val="22"/>
          <w:szCs w:val="22"/>
        </w:rPr>
        <w:t>6</w:t>
      </w:r>
      <w:r w:rsidRPr="00175F51">
        <w:rPr>
          <w:rFonts w:ascii="Aptos" w:hAnsi="Aptos" w:cstheme="minorHAnsi"/>
          <w:b/>
          <w:sz w:val="22"/>
          <w:szCs w:val="22"/>
        </w:rPr>
        <w:t xml:space="preserve"> - VIŠAK/MANJAK PRIHODA I PRIMITAKA</w:t>
      </w:r>
    </w:p>
    <w:p w14:paraId="416E342F" w14:textId="4E7AA52B" w:rsidR="00175F51" w:rsidRPr="00175F51" w:rsidRDefault="00175F51" w:rsidP="00175F51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175F51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9D1DEC">
        <w:rPr>
          <w:rFonts w:ascii="Aptos" w:hAnsi="Aptos" w:cs="Calibri"/>
          <w:b/>
          <w:bCs/>
          <w:color w:val="000000"/>
          <w:sz w:val="22"/>
          <w:szCs w:val="22"/>
        </w:rPr>
        <w:t>9</w:t>
      </w:r>
      <w:r w:rsidRPr="00175F51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52FE0DA6" w14:textId="58BFAE36" w:rsidR="00175F51" w:rsidRDefault="00175F51" w:rsidP="000D155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F4597C">
        <w:rPr>
          <w:rFonts w:ascii="Aptos" w:hAnsi="Aptos" w:cstheme="minorHAnsi"/>
          <w:sz w:val="22"/>
          <w:szCs w:val="22"/>
        </w:rPr>
        <w:t xml:space="preserve">U ovom izvještajnom razdoblju ostvaren je ukupni konsolidirani višak prihoda i primitaka raspoloživ u sljedećem razdoblju u iznosu od </w:t>
      </w:r>
      <w:r w:rsidR="00F4597C">
        <w:rPr>
          <w:rFonts w:ascii="Aptos" w:hAnsi="Aptos" w:cstheme="minorHAnsi"/>
          <w:sz w:val="22"/>
          <w:szCs w:val="22"/>
        </w:rPr>
        <w:t>6.319.323,68 €</w:t>
      </w:r>
      <w:r w:rsidR="000D1556">
        <w:rPr>
          <w:rFonts w:ascii="Aptos" w:hAnsi="Aptos" w:cstheme="minorHAnsi"/>
          <w:sz w:val="22"/>
          <w:szCs w:val="22"/>
        </w:rPr>
        <w:t>, a koji se sastoji od viška</w:t>
      </w:r>
      <w:r w:rsidRPr="00F4597C">
        <w:rPr>
          <w:rFonts w:ascii="Aptos" w:hAnsi="Aptos" w:cstheme="minorHAnsi"/>
          <w:sz w:val="22"/>
          <w:szCs w:val="22"/>
        </w:rPr>
        <w:t xml:space="preserve"> prihoda i primitaka </w:t>
      </w:r>
      <w:r w:rsidR="000D1556">
        <w:rPr>
          <w:rFonts w:ascii="Aptos" w:hAnsi="Aptos" w:cstheme="minorHAnsi"/>
          <w:sz w:val="22"/>
          <w:szCs w:val="22"/>
        </w:rPr>
        <w:t>Grada Bakra u iznosu od</w:t>
      </w:r>
      <w:r w:rsidRPr="00F4597C">
        <w:rPr>
          <w:rFonts w:ascii="Aptos" w:hAnsi="Aptos" w:cstheme="minorHAnsi"/>
          <w:sz w:val="22"/>
          <w:szCs w:val="22"/>
        </w:rPr>
        <w:t xml:space="preserve"> </w:t>
      </w:r>
      <w:r w:rsidR="00F4597C">
        <w:rPr>
          <w:rFonts w:ascii="Aptos" w:hAnsi="Aptos" w:cstheme="minorHAnsi"/>
          <w:sz w:val="22"/>
          <w:szCs w:val="22"/>
        </w:rPr>
        <w:t>6.355.656,74 €</w:t>
      </w:r>
      <w:r w:rsidR="000D1556">
        <w:rPr>
          <w:rFonts w:ascii="Aptos" w:hAnsi="Aptos" w:cstheme="minorHAnsi"/>
          <w:sz w:val="22"/>
          <w:szCs w:val="22"/>
        </w:rPr>
        <w:t xml:space="preserve">, </w:t>
      </w:r>
      <w:r w:rsidRPr="00F4597C">
        <w:rPr>
          <w:rFonts w:ascii="Aptos" w:hAnsi="Aptos" w:cstheme="minorHAnsi"/>
          <w:sz w:val="22"/>
          <w:szCs w:val="22"/>
        </w:rPr>
        <w:t>manjk</w:t>
      </w:r>
      <w:r w:rsidR="000D1556">
        <w:rPr>
          <w:rFonts w:ascii="Aptos" w:hAnsi="Aptos" w:cstheme="minorHAnsi"/>
          <w:sz w:val="22"/>
          <w:szCs w:val="22"/>
        </w:rPr>
        <w:t>a</w:t>
      </w:r>
      <w:r w:rsidRPr="00F4597C">
        <w:rPr>
          <w:rFonts w:ascii="Aptos" w:hAnsi="Aptos" w:cstheme="minorHAnsi"/>
          <w:sz w:val="22"/>
          <w:szCs w:val="22"/>
        </w:rPr>
        <w:t xml:space="preserve"> prihoda i primitaka </w:t>
      </w:r>
      <w:r w:rsidR="000D1556">
        <w:rPr>
          <w:rFonts w:ascii="Aptos" w:hAnsi="Aptos" w:cstheme="minorHAnsi"/>
          <w:sz w:val="22"/>
          <w:szCs w:val="22"/>
        </w:rPr>
        <w:t>Dječjeg vrtića Bakar u iznosu od</w:t>
      </w:r>
      <w:r w:rsidRPr="00F4597C">
        <w:rPr>
          <w:rFonts w:ascii="Aptos" w:hAnsi="Aptos" w:cstheme="minorHAnsi"/>
          <w:sz w:val="22"/>
          <w:szCs w:val="22"/>
        </w:rPr>
        <w:t xml:space="preserve"> </w:t>
      </w:r>
      <w:r w:rsidR="00453E01">
        <w:rPr>
          <w:rFonts w:ascii="Aptos" w:hAnsi="Aptos" w:cstheme="minorHAnsi"/>
          <w:sz w:val="22"/>
          <w:szCs w:val="22"/>
        </w:rPr>
        <w:t>41.869,61 €</w:t>
      </w:r>
      <w:r w:rsidR="000D1556">
        <w:rPr>
          <w:rFonts w:ascii="Aptos" w:hAnsi="Aptos" w:cstheme="minorHAnsi"/>
          <w:sz w:val="22"/>
          <w:szCs w:val="22"/>
        </w:rPr>
        <w:t xml:space="preserve"> te </w:t>
      </w:r>
      <w:r w:rsidRPr="00F4597C">
        <w:rPr>
          <w:rFonts w:ascii="Aptos" w:hAnsi="Aptos" w:cstheme="minorHAnsi"/>
          <w:sz w:val="22"/>
          <w:szCs w:val="22"/>
        </w:rPr>
        <w:t>višk</w:t>
      </w:r>
      <w:r w:rsidR="000D1556">
        <w:rPr>
          <w:rFonts w:ascii="Aptos" w:hAnsi="Aptos" w:cstheme="minorHAnsi"/>
          <w:sz w:val="22"/>
          <w:szCs w:val="22"/>
        </w:rPr>
        <w:t>a</w:t>
      </w:r>
      <w:r w:rsidRPr="00F4597C">
        <w:rPr>
          <w:rFonts w:ascii="Aptos" w:hAnsi="Aptos" w:cstheme="minorHAnsi"/>
          <w:sz w:val="22"/>
          <w:szCs w:val="22"/>
        </w:rPr>
        <w:t xml:space="preserve"> prihoda </w:t>
      </w:r>
      <w:r w:rsidR="000D1556">
        <w:rPr>
          <w:rFonts w:ascii="Aptos" w:hAnsi="Aptos" w:cstheme="minorHAnsi"/>
          <w:sz w:val="22"/>
          <w:szCs w:val="22"/>
        </w:rPr>
        <w:t>Gradske knjižnice Bakar u iznosu od</w:t>
      </w:r>
      <w:r w:rsidRPr="00F4597C">
        <w:rPr>
          <w:rFonts w:ascii="Aptos" w:hAnsi="Aptos" w:cstheme="minorHAnsi"/>
          <w:sz w:val="22"/>
          <w:szCs w:val="22"/>
        </w:rPr>
        <w:t xml:space="preserve"> </w:t>
      </w:r>
      <w:r w:rsidR="00453E01">
        <w:rPr>
          <w:rFonts w:ascii="Aptos" w:hAnsi="Aptos" w:cstheme="minorHAnsi"/>
          <w:sz w:val="22"/>
          <w:szCs w:val="22"/>
        </w:rPr>
        <w:t>5.536,55 €</w:t>
      </w:r>
      <w:r w:rsidRPr="00F4597C">
        <w:rPr>
          <w:rFonts w:ascii="Aptos" w:hAnsi="Aptos" w:cstheme="minorHAnsi"/>
          <w:sz w:val="22"/>
          <w:szCs w:val="22"/>
        </w:rPr>
        <w:t>.</w:t>
      </w:r>
    </w:p>
    <w:p w14:paraId="150A7BEC" w14:textId="6DEAB360" w:rsidR="000D1556" w:rsidRPr="00F4597C" w:rsidRDefault="000D1556" w:rsidP="000D155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Struktura konsolidiranog rezultata poslovanja </w:t>
      </w:r>
      <w:r w:rsidR="008B514B">
        <w:rPr>
          <w:rFonts w:ascii="Aptos" w:hAnsi="Aptos" w:cstheme="minorHAnsi"/>
          <w:sz w:val="22"/>
          <w:szCs w:val="22"/>
        </w:rPr>
        <w:t>prikazana je</w:t>
      </w:r>
      <w:r>
        <w:rPr>
          <w:rFonts w:ascii="Aptos" w:hAnsi="Aptos" w:cstheme="minorHAnsi"/>
          <w:sz w:val="22"/>
          <w:szCs w:val="22"/>
        </w:rPr>
        <w:t xml:space="preserve"> u bilješkama uz bilancu odnosno vlastite izvore</w:t>
      </w:r>
      <w:r w:rsidR="008B514B">
        <w:rPr>
          <w:rFonts w:ascii="Aptos" w:hAnsi="Aptos" w:cstheme="minorHAnsi"/>
          <w:sz w:val="22"/>
          <w:szCs w:val="22"/>
        </w:rPr>
        <w:t>.</w:t>
      </w:r>
    </w:p>
    <w:p w14:paraId="775E8439" w14:textId="599C9B5A" w:rsidR="00175F51" w:rsidRPr="00453E01" w:rsidRDefault="00175F51" w:rsidP="00453E01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453E01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9D1DEC">
        <w:rPr>
          <w:rFonts w:ascii="Aptos" w:hAnsi="Aptos" w:cs="Calibri"/>
          <w:b/>
          <w:bCs/>
          <w:color w:val="000000"/>
          <w:sz w:val="22"/>
          <w:szCs w:val="22"/>
        </w:rPr>
        <w:t>10</w:t>
      </w:r>
      <w:r w:rsidRPr="00453E01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2CDF870F" w14:textId="4EF44B57" w:rsidR="0069127B" w:rsidRPr="00453E01" w:rsidRDefault="00175F51" w:rsidP="00453E01">
      <w:pPr>
        <w:spacing w:before="60" w:after="60"/>
        <w:ind w:left="-426" w:right="-380" w:firstLine="284"/>
        <w:jc w:val="both"/>
        <w:rPr>
          <w:rFonts w:ascii="Aptos" w:hAnsi="Aptos" w:cstheme="minorHAnsi"/>
          <w:color w:val="548DD4" w:themeColor="text2" w:themeTint="99"/>
          <w:sz w:val="22"/>
          <w:szCs w:val="22"/>
          <w:u w:val="single"/>
        </w:rPr>
      </w:pPr>
      <w:r w:rsidRPr="00453E01">
        <w:rPr>
          <w:rFonts w:ascii="Aptos" w:hAnsi="Aptos" w:cstheme="minorHAnsi"/>
          <w:sz w:val="22"/>
          <w:szCs w:val="22"/>
        </w:rPr>
        <w:t>Detaljnija obrazloženja uz ostvarenje prihoda i primitaka te rashoda i izdataka za 202</w:t>
      </w:r>
      <w:r w:rsidR="00453E01">
        <w:rPr>
          <w:rFonts w:ascii="Aptos" w:hAnsi="Aptos" w:cstheme="minorHAnsi"/>
          <w:sz w:val="22"/>
          <w:szCs w:val="22"/>
        </w:rPr>
        <w:t>3</w:t>
      </w:r>
      <w:r w:rsidRPr="00453E01">
        <w:rPr>
          <w:rFonts w:ascii="Aptos" w:hAnsi="Aptos" w:cstheme="minorHAnsi"/>
          <w:sz w:val="22"/>
          <w:szCs w:val="22"/>
        </w:rPr>
        <w:t>. godinu i značajnija odstupanja u odnosu na prošlu godinu navedena su u bilješkama uz financijska izvješća za svakog pojedinog proračunskog korisnika, kao i u Godišnjem izvještaju o izvršenju Proračuna Grada Bakra za 202</w:t>
      </w:r>
      <w:r w:rsidR="00453E01">
        <w:rPr>
          <w:rFonts w:ascii="Aptos" w:hAnsi="Aptos" w:cstheme="minorHAnsi"/>
          <w:sz w:val="22"/>
          <w:szCs w:val="22"/>
        </w:rPr>
        <w:t>3</w:t>
      </w:r>
      <w:r w:rsidRPr="00453E01">
        <w:rPr>
          <w:rFonts w:ascii="Aptos" w:hAnsi="Aptos" w:cstheme="minorHAnsi"/>
          <w:sz w:val="22"/>
          <w:szCs w:val="22"/>
        </w:rPr>
        <w:t>. godinu</w:t>
      </w:r>
      <w:r w:rsidR="00453E01">
        <w:rPr>
          <w:rFonts w:ascii="Aptos" w:hAnsi="Aptos" w:cstheme="minorHAnsi"/>
          <w:sz w:val="22"/>
          <w:szCs w:val="22"/>
        </w:rPr>
        <w:t xml:space="preserve"> na </w:t>
      </w:r>
      <w:hyperlink r:id="rId8" w:history="1">
        <w:r w:rsidR="00453E01" w:rsidRPr="00A978E9">
          <w:rPr>
            <w:rStyle w:val="Hiperveza"/>
            <w:rFonts w:ascii="Aptos" w:hAnsi="Aptos" w:cstheme="minorHAnsi"/>
            <w:sz w:val="22"/>
            <w:szCs w:val="22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https://www.bakar.hr/grad-bakar/proracun</w:t>
        </w:r>
      </w:hyperlink>
    </w:p>
    <w:p w14:paraId="255D519C" w14:textId="70215D73" w:rsidR="00B17337" w:rsidRPr="00F61B8D" w:rsidRDefault="00C54F0E" w:rsidP="00C54F0E">
      <w:pPr>
        <w:shd w:val="clear" w:color="auto" w:fill="D9D9D9" w:themeFill="background1" w:themeFillShade="D9"/>
        <w:spacing w:before="60" w:after="60"/>
        <w:ind w:left="-425" w:right="-380"/>
        <w:jc w:val="both"/>
        <w:rPr>
          <w:rFonts w:ascii="Aptos" w:hAnsi="Aptos" w:cstheme="minorHAnsi"/>
          <w:b/>
          <w:sz w:val="22"/>
          <w:szCs w:val="22"/>
        </w:rPr>
      </w:pPr>
      <w:r>
        <w:rPr>
          <w:rFonts w:ascii="Aptos" w:hAnsi="Aptos" w:cstheme="minorHAnsi"/>
          <w:b/>
          <w:sz w:val="22"/>
          <w:szCs w:val="22"/>
        </w:rPr>
        <w:t>B</w:t>
      </w:r>
      <w:r w:rsidR="006202F0" w:rsidRPr="00F61B8D">
        <w:rPr>
          <w:rFonts w:ascii="Aptos" w:hAnsi="Aptos" w:cstheme="minorHAnsi"/>
          <w:b/>
          <w:sz w:val="22"/>
          <w:szCs w:val="22"/>
        </w:rPr>
        <w:t xml:space="preserve">/  BILJEŠKE UZ BILANCU </w:t>
      </w:r>
    </w:p>
    <w:p w14:paraId="234328EA" w14:textId="23DA6784" w:rsidR="005C3EC0" w:rsidRPr="00F61B8D" w:rsidRDefault="005C3EC0" w:rsidP="005C3EC0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1.</w:t>
      </w:r>
    </w:p>
    <w:p w14:paraId="78D4F15A" w14:textId="227625B1" w:rsidR="00453E01" w:rsidRPr="00EB4D5B" w:rsidRDefault="00453E01" w:rsidP="00EB4D5B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EB4D5B">
        <w:rPr>
          <w:rFonts w:ascii="Aptos" w:hAnsi="Aptos" w:cstheme="minorHAnsi"/>
          <w:sz w:val="22"/>
          <w:szCs w:val="22"/>
        </w:rPr>
        <w:t xml:space="preserve">Analizom financijskih podataka iz </w:t>
      </w:r>
      <w:r w:rsidR="00700AE2">
        <w:rPr>
          <w:rFonts w:ascii="Aptos" w:hAnsi="Aptos" w:cstheme="minorHAnsi"/>
          <w:sz w:val="22"/>
          <w:szCs w:val="22"/>
        </w:rPr>
        <w:t xml:space="preserve">konsolidirane </w:t>
      </w:r>
      <w:r w:rsidRPr="00EB4D5B">
        <w:rPr>
          <w:rFonts w:ascii="Aptos" w:hAnsi="Aptos" w:cstheme="minorHAnsi"/>
          <w:sz w:val="22"/>
          <w:szCs w:val="22"/>
        </w:rPr>
        <w:t>bilance</w:t>
      </w:r>
      <w:r w:rsidR="00700AE2">
        <w:rPr>
          <w:rFonts w:ascii="Aptos" w:hAnsi="Aptos" w:cstheme="minorHAnsi"/>
          <w:sz w:val="22"/>
          <w:szCs w:val="22"/>
        </w:rPr>
        <w:t xml:space="preserve"> Grada Bakra i proračunskih korisnika</w:t>
      </w:r>
      <w:r w:rsidRPr="00EB4D5B">
        <w:rPr>
          <w:rFonts w:ascii="Aptos" w:hAnsi="Aptos" w:cstheme="minorHAnsi"/>
          <w:sz w:val="22"/>
          <w:szCs w:val="22"/>
        </w:rPr>
        <w:t xml:space="preserve"> na dan 31.12.202</w:t>
      </w:r>
      <w:r w:rsidR="00EB4D5B">
        <w:rPr>
          <w:rFonts w:ascii="Aptos" w:hAnsi="Aptos" w:cstheme="minorHAnsi"/>
          <w:sz w:val="22"/>
          <w:szCs w:val="22"/>
        </w:rPr>
        <w:t>3</w:t>
      </w:r>
      <w:r w:rsidRPr="00EB4D5B">
        <w:rPr>
          <w:rFonts w:ascii="Aptos" w:hAnsi="Aptos" w:cstheme="minorHAnsi"/>
          <w:sz w:val="22"/>
          <w:szCs w:val="22"/>
        </w:rPr>
        <w:t>. godine utvrđeno je:</w:t>
      </w:r>
    </w:p>
    <w:p w14:paraId="1C3C08ED" w14:textId="2990CA2C" w:rsidR="00453E01" w:rsidRPr="00EB4D5B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EB4D5B">
        <w:rPr>
          <w:rFonts w:ascii="Aptos" w:hAnsi="Aptos" w:cs="Calibri"/>
          <w:sz w:val="22"/>
          <w:szCs w:val="22"/>
        </w:rPr>
        <w:t xml:space="preserve">Stanje nefinancijske imovine – šifra B002 </w:t>
      </w:r>
      <w:r w:rsidR="00EB4D5B">
        <w:rPr>
          <w:rFonts w:ascii="Aptos" w:hAnsi="Aptos" w:cs="Calibri"/>
          <w:sz w:val="22"/>
          <w:szCs w:val="22"/>
        </w:rPr>
        <w:t>u iznosu od 115.188.381,65 €</w:t>
      </w:r>
      <w:r w:rsidRPr="00EB4D5B">
        <w:rPr>
          <w:rFonts w:ascii="Aptos" w:hAnsi="Aptos" w:cs="Calibri"/>
          <w:sz w:val="22"/>
          <w:szCs w:val="22"/>
        </w:rPr>
        <w:t xml:space="preserve">, što je za </w:t>
      </w:r>
      <w:r w:rsidR="00700AE2">
        <w:rPr>
          <w:rFonts w:ascii="Aptos" w:hAnsi="Aptos" w:cs="Calibri"/>
          <w:sz w:val="22"/>
          <w:szCs w:val="22"/>
        </w:rPr>
        <w:t>14,5</w:t>
      </w:r>
      <w:r w:rsidRPr="00EB4D5B">
        <w:rPr>
          <w:rFonts w:ascii="Aptos" w:hAnsi="Aptos" w:cs="Calibri"/>
          <w:sz w:val="22"/>
          <w:szCs w:val="22"/>
        </w:rPr>
        <w:t>% više u odnosu na stanje imovine prethodne godine</w:t>
      </w:r>
    </w:p>
    <w:p w14:paraId="462F300F" w14:textId="584403A7" w:rsidR="00453E01" w:rsidRPr="00EB4D5B" w:rsidRDefault="00700AE2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>Stanje</w:t>
      </w:r>
      <w:r w:rsidR="00453E01" w:rsidRPr="00EB4D5B">
        <w:rPr>
          <w:rFonts w:ascii="Aptos" w:hAnsi="Aptos" w:cs="Calibri"/>
          <w:sz w:val="22"/>
          <w:szCs w:val="22"/>
        </w:rPr>
        <w:t xml:space="preserve"> financijsk</w:t>
      </w:r>
      <w:r>
        <w:rPr>
          <w:rFonts w:ascii="Aptos" w:hAnsi="Aptos" w:cs="Calibri"/>
          <w:sz w:val="22"/>
          <w:szCs w:val="22"/>
        </w:rPr>
        <w:t>e</w:t>
      </w:r>
      <w:r w:rsidR="00453E01" w:rsidRPr="00EB4D5B">
        <w:rPr>
          <w:rFonts w:ascii="Aptos" w:hAnsi="Aptos" w:cs="Calibri"/>
          <w:sz w:val="22"/>
          <w:szCs w:val="22"/>
        </w:rPr>
        <w:t xml:space="preserve"> imovin</w:t>
      </w:r>
      <w:r>
        <w:rPr>
          <w:rFonts w:ascii="Aptos" w:hAnsi="Aptos" w:cs="Calibri"/>
          <w:sz w:val="22"/>
          <w:szCs w:val="22"/>
        </w:rPr>
        <w:t>e</w:t>
      </w:r>
      <w:r w:rsidR="00453E01" w:rsidRPr="00EB4D5B">
        <w:rPr>
          <w:rFonts w:ascii="Aptos" w:hAnsi="Aptos" w:cs="Calibri"/>
          <w:sz w:val="22"/>
          <w:szCs w:val="22"/>
        </w:rPr>
        <w:t xml:space="preserve"> – šifra 1 </w:t>
      </w:r>
      <w:r>
        <w:rPr>
          <w:rFonts w:ascii="Aptos" w:hAnsi="Aptos" w:cs="Calibri"/>
          <w:sz w:val="22"/>
          <w:szCs w:val="22"/>
        </w:rPr>
        <w:t>u iznosu od 39.232.510,35 €</w:t>
      </w:r>
      <w:r w:rsidR="00453E01" w:rsidRPr="00EB4D5B">
        <w:rPr>
          <w:rFonts w:ascii="Aptos" w:hAnsi="Aptos" w:cs="Calibri"/>
          <w:sz w:val="22"/>
          <w:szCs w:val="22"/>
        </w:rPr>
        <w:t xml:space="preserve">, što je za </w:t>
      </w:r>
      <w:r>
        <w:rPr>
          <w:rFonts w:ascii="Aptos" w:hAnsi="Aptos" w:cs="Calibri"/>
          <w:sz w:val="22"/>
          <w:szCs w:val="22"/>
        </w:rPr>
        <w:t>8,6</w:t>
      </w:r>
      <w:r w:rsidR="00453E01" w:rsidRPr="00EB4D5B">
        <w:rPr>
          <w:rFonts w:ascii="Aptos" w:hAnsi="Aptos" w:cs="Calibri"/>
          <w:sz w:val="22"/>
          <w:szCs w:val="22"/>
        </w:rPr>
        <w:t xml:space="preserve">% </w:t>
      </w:r>
      <w:r>
        <w:rPr>
          <w:rFonts w:ascii="Aptos" w:hAnsi="Aptos" w:cs="Calibri"/>
          <w:sz w:val="22"/>
          <w:szCs w:val="22"/>
        </w:rPr>
        <w:t>više</w:t>
      </w:r>
      <w:r w:rsidR="00453E01" w:rsidRPr="00EB4D5B">
        <w:rPr>
          <w:rFonts w:ascii="Aptos" w:hAnsi="Aptos" w:cs="Calibri"/>
          <w:sz w:val="22"/>
          <w:szCs w:val="22"/>
        </w:rPr>
        <w:t xml:space="preserve"> u odnosu na razdoblje prošle godine</w:t>
      </w:r>
    </w:p>
    <w:p w14:paraId="1B537FA0" w14:textId="50CF949B" w:rsidR="00453E01" w:rsidRPr="00EB4D5B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EB4D5B">
        <w:rPr>
          <w:rFonts w:ascii="Aptos" w:hAnsi="Aptos" w:cs="Calibri"/>
          <w:sz w:val="22"/>
          <w:szCs w:val="22"/>
        </w:rPr>
        <w:t xml:space="preserve">Stanje obveza – šifra 2 </w:t>
      </w:r>
      <w:r w:rsidR="00700AE2">
        <w:rPr>
          <w:rFonts w:ascii="Aptos" w:hAnsi="Aptos" w:cs="Calibri"/>
          <w:sz w:val="22"/>
          <w:szCs w:val="22"/>
        </w:rPr>
        <w:t>u iznosu od 1.244.845,12 €</w:t>
      </w:r>
      <w:r w:rsidRPr="00EB4D5B">
        <w:rPr>
          <w:rFonts w:ascii="Aptos" w:hAnsi="Aptos" w:cs="Calibri"/>
          <w:sz w:val="22"/>
          <w:szCs w:val="22"/>
        </w:rPr>
        <w:t>, što je u odnosu na isto razdoblje 202</w:t>
      </w:r>
      <w:r w:rsidR="00700AE2">
        <w:rPr>
          <w:rFonts w:ascii="Aptos" w:hAnsi="Aptos" w:cs="Calibri"/>
          <w:sz w:val="22"/>
          <w:szCs w:val="22"/>
        </w:rPr>
        <w:t>2</w:t>
      </w:r>
      <w:r w:rsidRPr="00EB4D5B">
        <w:rPr>
          <w:rFonts w:ascii="Aptos" w:hAnsi="Aptos" w:cs="Calibri"/>
          <w:sz w:val="22"/>
          <w:szCs w:val="22"/>
        </w:rPr>
        <w:t xml:space="preserve">. godine manje za </w:t>
      </w:r>
      <w:r w:rsidR="00700AE2">
        <w:rPr>
          <w:rFonts w:ascii="Aptos" w:hAnsi="Aptos" w:cs="Calibri"/>
          <w:sz w:val="22"/>
          <w:szCs w:val="22"/>
        </w:rPr>
        <w:t>35,10</w:t>
      </w:r>
      <w:r w:rsidRPr="00EB4D5B">
        <w:rPr>
          <w:rFonts w:ascii="Aptos" w:hAnsi="Aptos" w:cs="Calibri"/>
          <w:sz w:val="22"/>
          <w:szCs w:val="22"/>
        </w:rPr>
        <w:t>%</w:t>
      </w:r>
    </w:p>
    <w:p w14:paraId="15D34547" w14:textId="2588BFCF" w:rsidR="00700AE2" w:rsidRPr="00700AE2" w:rsidRDefault="00453E01" w:rsidP="00700AE2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700AE2">
        <w:rPr>
          <w:rFonts w:ascii="Aptos" w:hAnsi="Aptos" w:cs="Calibri"/>
          <w:sz w:val="22"/>
          <w:szCs w:val="22"/>
        </w:rPr>
        <w:t xml:space="preserve">Stanje vlastitih izvora – šifra 9  </w:t>
      </w:r>
      <w:r w:rsidR="00700AE2" w:rsidRPr="00700AE2">
        <w:rPr>
          <w:rFonts w:ascii="Aptos" w:hAnsi="Aptos" w:cs="Calibri"/>
          <w:sz w:val="22"/>
          <w:szCs w:val="22"/>
        </w:rPr>
        <w:t>u iznosu od 153.176.046,88 €</w:t>
      </w:r>
      <w:r w:rsidRPr="00700AE2">
        <w:rPr>
          <w:rFonts w:ascii="Aptos" w:hAnsi="Aptos" w:cs="Calibri"/>
          <w:sz w:val="22"/>
          <w:szCs w:val="22"/>
        </w:rPr>
        <w:t xml:space="preserve">, </w:t>
      </w:r>
      <w:r w:rsidR="00700AE2" w:rsidRPr="00700AE2">
        <w:rPr>
          <w:rFonts w:ascii="Aptos" w:hAnsi="Aptos" w:cs="Calibri"/>
          <w:sz w:val="22"/>
          <w:szCs w:val="22"/>
        </w:rPr>
        <w:t>što je</w:t>
      </w:r>
      <w:r w:rsidRPr="00700AE2">
        <w:rPr>
          <w:rFonts w:ascii="Aptos" w:hAnsi="Aptos" w:cs="Calibri"/>
          <w:sz w:val="22"/>
          <w:szCs w:val="22"/>
        </w:rPr>
        <w:t xml:space="preserve"> u odnosu na iste podatke  u prethodnom obračunskom razdoblju </w:t>
      </w:r>
      <w:r w:rsidR="00700AE2" w:rsidRPr="00700AE2">
        <w:rPr>
          <w:rFonts w:ascii="Aptos" w:hAnsi="Aptos" w:cs="Calibri"/>
          <w:sz w:val="22"/>
          <w:szCs w:val="22"/>
        </w:rPr>
        <w:t>više</w:t>
      </w:r>
      <w:r w:rsidRPr="00700AE2">
        <w:rPr>
          <w:rFonts w:ascii="Aptos" w:hAnsi="Aptos" w:cs="Calibri"/>
          <w:sz w:val="22"/>
          <w:szCs w:val="22"/>
        </w:rPr>
        <w:t xml:space="preserve"> za</w:t>
      </w:r>
      <w:r w:rsidR="00700AE2" w:rsidRPr="00700AE2">
        <w:rPr>
          <w:rFonts w:ascii="Aptos" w:hAnsi="Aptos" w:cs="Calibri"/>
          <w:sz w:val="22"/>
          <w:szCs w:val="22"/>
        </w:rPr>
        <w:t>13,6</w:t>
      </w:r>
      <w:r w:rsidRPr="00700AE2">
        <w:rPr>
          <w:rFonts w:ascii="Aptos" w:hAnsi="Aptos" w:cs="Calibri"/>
          <w:sz w:val="22"/>
          <w:szCs w:val="22"/>
        </w:rPr>
        <w:t xml:space="preserve">%.  </w:t>
      </w:r>
    </w:p>
    <w:p w14:paraId="45819E14" w14:textId="750EB5B1" w:rsidR="00453E01" w:rsidRPr="00C05C10" w:rsidRDefault="00453E01" w:rsidP="0045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="Calibri"/>
          <w:b/>
          <w:color w:val="000000"/>
          <w:sz w:val="22"/>
          <w:szCs w:val="22"/>
        </w:rPr>
      </w:pPr>
      <w:r w:rsidRPr="00C05C10">
        <w:rPr>
          <w:rFonts w:ascii="Aptos" w:hAnsi="Aptos" w:cs="Calibri"/>
          <w:b/>
          <w:color w:val="000000"/>
          <w:sz w:val="22"/>
          <w:szCs w:val="22"/>
        </w:rPr>
        <w:t>ŠIFRA B00</w:t>
      </w:r>
      <w:r w:rsidR="00C05C10">
        <w:rPr>
          <w:rFonts w:ascii="Aptos" w:hAnsi="Aptos" w:cs="Calibri"/>
          <w:b/>
          <w:color w:val="000000"/>
          <w:sz w:val="22"/>
          <w:szCs w:val="22"/>
        </w:rPr>
        <w:t>2</w:t>
      </w:r>
      <w:r w:rsidRPr="00C05C10">
        <w:rPr>
          <w:rFonts w:ascii="Aptos" w:hAnsi="Aptos" w:cs="Calibri"/>
          <w:b/>
          <w:color w:val="000000"/>
          <w:sz w:val="22"/>
          <w:szCs w:val="22"/>
        </w:rPr>
        <w:t xml:space="preserve"> </w:t>
      </w:r>
      <w:r w:rsidR="00C05C10">
        <w:rPr>
          <w:rFonts w:ascii="Aptos" w:hAnsi="Aptos" w:cs="Calibri"/>
          <w:b/>
          <w:color w:val="000000"/>
          <w:sz w:val="22"/>
          <w:szCs w:val="22"/>
        </w:rPr>
        <w:t>–</w:t>
      </w:r>
      <w:r w:rsidRPr="00C05C10">
        <w:rPr>
          <w:rFonts w:ascii="Aptos" w:hAnsi="Aptos" w:cs="Calibri"/>
          <w:b/>
          <w:color w:val="000000"/>
          <w:sz w:val="22"/>
          <w:szCs w:val="22"/>
        </w:rPr>
        <w:t xml:space="preserve"> </w:t>
      </w:r>
      <w:r w:rsidR="00C05C10">
        <w:rPr>
          <w:rFonts w:ascii="Aptos" w:hAnsi="Aptos" w:cs="Calibri"/>
          <w:b/>
          <w:color w:val="000000"/>
          <w:sz w:val="22"/>
          <w:szCs w:val="22"/>
        </w:rPr>
        <w:t xml:space="preserve">NEFINANCIJSKA </w:t>
      </w:r>
      <w:r w:rsidRPr="00C05C10">
        <w:rPr>
          <w:rFonts w:ascii="Aptos" w:hAnsi="Aptos" w:cs="Calibri"/>
          <w:b/>
          <w:color w:val="000000"/>
          <w:sz w:val="22"/>
          <w:szCs w:val="22"/>
        </w:rPr>
        <w:t>IMOVINA</w:t>
      </w:r>
    </w:p>
    <w:p w14:paraId="189A4FE4" w14:textId="77777777" w:rsidR="00453E01" w:rsidRPr="00700AE2" w:rsidRDefault="00453E01" w:rsidP="00700AE2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700AE2">
        <w:rPr>
          <w:rFonts w:ascii="Aptos" w:hAnsi="Aptos" w:cs="Calibri"/>
          <w:b/>
          <w:bCs/>
          <w:color w:val="000000"/>
          <w:sz w:val="22"/>
          <w:szCs w:val="22"/>
        </w:rPr>
        <w:t>Bilješka 2.</w:t>
      </w:r>
    </w:p>
    <w:p w14:paraId="2148AF95" w14:textId="3776B753" w:rsidR="00453E01" w:rsidRPr="00700AE2" w:rsidRDefault="00453E01" w:rsidP="00453E01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700AE2">
        <w:rPr>
          <w:rFonts w:ascii="Aptos" w:hAnsi="Aptos" w:cs="Calibri"/>
          <w:sz w:val="22"/>
          <w:szCs w:val="22"/>
        </w:rPr>
        <w:t xml:space="preserve">Ukupna konsolidirana vrijednost  nefinancijske imovine Grada Bakra iznosi </w:t>
      </w:r>
      <w:r w:rsidR="00700AE2">
        <w:rPr>
          <w:rFonts w:ascii="Aptos" w:hAnsi="Aptos" w:cs="Calibri"/>
          <w:sz w:val="22"/>
          <w:szCs w:val="22"/>
        </w:rPr>
        <w:t>115.188.381,65 €</w:t>
      </w:r>
      <w:r w:rsidRPr="00700AE2">
        <w:rPr>
          <w:rFonts w:ascii="Aptos" w:hAnsi="Aptos" w:cs="Calibri"/>
          <w:sz w:val="22"/>
          <w:szCs w:val="22"/>
        </w:rPr>
        <w:t xml:space="preserve"> ili </w:t>
      </w:r>
      <w:r w:rsidR="00700AE2">
        <w:rPr>
          <w:rFonts w:ascii="Aptos" w:hAnsi="Aptos" w:cs="Calibri"/>
          <w:sz w:val="22"/>
          <w:szCs w:val="22"/>
        </w:rPr>
        <w:t>14,5</w:t>
      </w:r>
      <w:r w:rsidRPr="00700AE2">
        <w:rPr>
          <w:rFonts w:ascii="Aptos" w:hAnsi="Aptos" w:cs="Calibri"/>
          <w:sz w:val="22"/>
          <w:szCs w:val="22"/>
        </w:rPr>
        <w:t>% više u odnosu na vrijednost nefinancijske imovine u 202</w:t>
      </w:r>
      <w:r w:rsidR="00700AE2">
        <w:rPr>
          <w:rFonts w:ascii="Aptos" w:hAnsi="Aptos" w:cs="Calibri"/>
          <w:sz w:val="22"/>
          <w:szCs w:val="22"/>
        </w:rPr>
        <w:t>2</w:t>
      </w:r>
      <w:r w:rsidRPr="00700AE2">
        <w:rPr>
          <w:rFonts w:ascii="Aptos" w:hAnsi="Aptos" w:cs="Calibri"/>
          <w:sz w:val="22"/>
          <w:szCs w:val="22"/>
        </w:rPr>
        <w:t xml:space="preserve">. godini. </w:t>
      </w:r>
    </w:p>
    <w:p w14:paraId="7C84BC9E" w14:textId="36AEB812" w:rsidR="00453E01" w:rsidRDefault="00453E01" w:rsidP="00453E01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700AE2">
        <w:rPr>
          <w:rFonts w:ascii="Aptos" w:hAnsi="Aptos" w:cs="Calibri"/>
          <w:sz w:val="22"/>
          <w:szCs w:val="22"/>
        </w:rPr>
        <w:t xml:space="preserve">Vrijednost nefinancijske imovine Grada Bakra bez proračunskih korisnika  iskazana je u iznosu od </w:t>
      </w:r>
      <w:r w:rsidR="00700AE2">
        <w:rPr>
          <w:rFonts w:ascii="Aptos" w:hAnsi="Aptos" w:cs="Calibri"/>
          <w:sz w:val="22"/>
          <w:szCs w:val="22"/>
        </w:rPr>
        <w:t>115.104.074,17 €</w:t>
      </w:r>
      <w:r w:rsidRPr="00700AE2">
        <w:rPr>
          <w:rFonts w:ascii="Aptos" w:hAnsi="Aptos" w:cs="Calibri"/>
          <w:sz w:val="22"/>
          <w:szCs w:val="22"/>
        </w:rPr>
        <w:t xml:space="preserve">. Dječji vrtić Bakar u svojoj dugotrajnoj imovini ima evidentiranu vrijednost nefinancijske imovine - opreme i namještaja  u iznosu od </w:t>
      </w:r>
      <w:r w:rsidR="0065416D">
        <w:rPr>
          <w:rFonts w:ascii="Aptos" w:hAnsi="Aptos" w:cs="Calibri"/>
          <w:sz w:val="22"/>
          <w:szCs w:val="22"/>
        </w:rPr>
        <w:t>21.895,79 €</w:t>
      </w:r>
      <w:r w:rsidRPr="00700AE2">
        <w:rPr>
          <w:rFonts w:ascii="Aptos" w:hAnsi="Aptos" w:cs="Calibri"/>
          <w:sz w:val="22"/>
          <w:szCs w:val="22"/>
        </w:rPr>
        <w:t xml:space="preserve">. Gradska knjižnica Bakar u svojoj dugotrajnoj imovini ima evidentiranu vrijednost nefinancijske imovine - opreme, namještaja, knjiga u iznosu od </w:t>
      </w:r>
      <w:r w:rsidR="0065416D">
        <w:rPr>
          <w:rFonts w:ascii="Aptos" w:hAnsi="Aptos" w:cs="Calibri"/>
          <w:sz w:val="22"/>
          <w:szCs w:val="22"/>
        </w:rPr>
        <w:t>62.411,69 €</w:t>
      </w:r>
      <w:r w:rsidRPr="00700AE2">
        <w:rPr>
          <w:rFonts w:ascii="Aptos" w:hAnsi="Aptos" w:cs="Calibri"/>
          <w:sz w:val="22"/>
          <w:szCs w:val="22"/>
        </w:rPr>
        <w:t>.</w:t>
      </w:r>
    </w:p>
    <w:p w14:paraId="3007E48C" w14:textId="14FC82B6" w:rsidR="009D1DEC" w:rsidRPr="009D1DEC" w:rsidRDefault="009D1DEC" w:rsidP="009D1DEC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700AE2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3</w:t>
      </w:r>
      <w:r w:rsidRPr="00700AE2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0B450345" w14:textId="77777777" w:rsidR="00453E01" w:rsidRPr="00700AE2" w:rsidRDefault="00453E01" w:rsidP="00453E01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700AE2">
        <w:rPr>
          <w:rFonts w:ascii="Aptos" w:hAnsi="Aptos" w:cs="Calibri"/>
          <w:sz w:val="22"/>
          <w:szCs w:val="22"/>
        </w:rPr>
        <w:t>Značajnija odstupanja u odnosu na prethodnu godinu odnose se na:</w:t>
      </w:r>
    </w:p>
    <w:p w14:paraId="747449D0" w14:textId="459DF3F9" w:rsidR="0065416D" w:rsidRPr="0065416D" w:rsidRDefault="0065416D" w:rsidP="00C436C5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65416D">
        <w:rPr>
          <w:rFonts w:ascii="Aptos" w:hAnsi="Aptos" w:cs="Calibri"/>
          <w:sz w:val="22"/>
          <w:szCs w:val="22"/>
        </w:rPr>
        <w:t xml:space="preserve">povećanje vrijednosti neproizvedene dugotrajne imovine – šifra 01 za 21,4% uslijed usklađenja i uknjiženja zemljišta prema Registru nekretnina Grada Bakra te evidentiranja građevinskog zemljišta na platou bivše koksare koje je  Republika Hrvatsko darovala Gradu Bakru </w:t>
      </w:r>
    </w:p>
    <w:p w14:paraId="717906F6" w14:textId="49C9F3C7" w:rsidR="0065416D" w:rsidRPr="007F0E79" w:rsidRDefault="007F0E79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povećanje vrijednosti sportske i glazbene opreme – šifra 0226 za 54,6% uslijed nabave multimedijalne </w:t>
      </w:r>
      <w:r>
        <w:rPr>
          <w:rFonts w:ascii="Aptos" w:hAnsi="Aptos" w:cstheme="minorHAnsi"/>
          <w:sz w:val="22"/>
          <w:szCs w:val="22"/>
        </w:rPr>
        <w:t>opreme za interpretacijski centar ribarstvene i pomorske baštine „ O RIBI“ i opreme za dječja igrališta i sportske objekte u Krasici</w:t>
      </w:r>
    </w:p>
    <w:p w14:paraId="27138E5E" w14:textId="19B6F89F" w:rsidR="007F0E79" w:rsidRDefault="007F0E79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povećanje vrijednosti prijevoznih sredstava – šifra 0231 obzirom na nabavu dva službena automobila za potrebe Grada Bakra</w:t>
      </w:r>
    </w:p>
    <w:p w14:paraId="4A8A1CCB" w14:textId="5438B4B8" w:rsidR="009B74D5" w:rsidRPr="009B74D5" w:rsidRDefault="00453E01" w:rsidP="009B74D5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700AE2">
        <w:rPr>
          <w:rFonts w:ascii="Aptos" w:hAnsi="Aptos" w:cs="Calibri"/>
          <w:sz w:val="22"/>
          <w:szCs w:val="22"/>
        </w:rPr>
        <w:lastRenderedPageBreak/>
        <w:t xml:space="preserve">povećanje vrijednosti </w:t>
      </w:r>
      <w:r w:rsidR="007F0E79">
        <w:rPr>
          <w:rFonts w:ascii="Aptos" w:hAnsi="Aptos" w:cs="Calibri"/>
          <w:sz w:val="22"/>
          <w:szCs w:val="22"/>
        </w:rPr>
        <w:t xml:space="preserve">knjiga, umjetničkih djela i ostalih </w:t>
      </w:r>
      <w:r w:rsidR="009B74D5">
        <w:rPr>
          <w:rFonts w:ascii="Aptos" w:hAnsi="Aptos" w:cs="Calibri"/>
          <w:sz w:val="22"/>
          <w:szCs w:val="22"/>
        </w:rPr>
        <w:t>izložbenih vrijednosti</w:t>
      </w:r>
      <w:r w:rsidRPr="00700AE2">
        <w:rPr>
          <w:rFonts w:ascii="Aptos" w:hAnsi="Aptos" w:cs="Calibri"/>
          <w:sz w:val="22"/>
          <w:szCs w:val="22"/>
        </w:rPr>
        <w:t xml:space="preserve"> – šifra 02</w:t>
      </w:r>
      <w:r w:rsidR="009B74D5">
        <w:rPr>
          <w:rFonts w:ascii="Aptos" w:hAnsi="Aptos" w:cs="Calibri"/>
          <w:sz w:val="22"/>
          <w:szCs w:val="22"/>
        </w:rPr>
        <w:t xml:space="preserve">4, pri čemu je Grad Bakar </w:t>
      </w:r>
      <w:r w:rsidR="009B74D5" w:rsidRPr="009B74D5">
        <w:rPr>
          <w:rFonts w:ascii="Aptos" w:hAnsi="Aptos" w:cstheme="minorHAnsi"/>
          <w:sz w:val="22"/>
          <w:szCs w:val="22"/>
        </w:rPr>
        <w:t>nabav</w:t>
      </w:r>
      <w:r w:rsidR="009B74D5">
        <w:rPr>
          <w:rFonts w:ascii="Aptos" w:hAnsi="Aptos" w:cstheme="minorHAnsi"/>
          <w:sz w:val="22"/>
          <w:szCs w:val="22"/>
        </w:rPr>
        <w:t>io</w:t>
      </w:r>
      <w:r w:rsidR="009B74D5" w:rsidRPr="009B74D5">
        <w:rPr>
          <w:rFonts w:ascii="Aptos" w:hAnsi="Aptos" w:cstheme="minorHAnsi"/>
          <w:sz w:val="22"/>
          <w:szCs w:val="22"/>
        </w:rPr>
        <w:t xml:space="preserve"> knjiga, umjetničkih djela i ostalih izložbenih vrijednosti u iznosu od 33.542,13 €, koje se odnose na izradu i postavu biste u čast Josipu Marohniću, kao i na elemente Vrše sjećanja i ostalih izložbenih predmeta </w:t>
      </w:r>
      <w:r w:rsidR="009B74D5">
        <w:rPr>
          <w:rFonts w:ascii="Aptos" w:hAnsi="Aptos" w:cstheme="minorHAnsi"/>
          <w:sz w:val="22"/>
          <w:szCs w:val="22"/>
        </w:rPr>
        <w:t xml:space="preserve">u interpretacijskom centru, a Gradska knjižnica nabavila je knjižne građe u vrijednosti od </w:t>
      </w:r>
      <w:r w:rsidR="009B74D5" w:rsidRPr="009B74D5">
        <w:rPr>
          <w:rFonts w:ascii="Aptos" w:hAnsi="Aptos" w:cstheme="minorHAnsi"/>
          <w:sz w:val="22"/>
          <w:szCs w:val="22"/>
        </w:rPr>
        <w:t>24</w:t>
      </w:r>
      <w:r w:rsidR="009B74D5">
        <w:rPr>
          <w:rFonts w:ascii="Aptos" w:hAnsi="Aptos" w:cstheme="minorHAnsi"/>
          <w:sz w:val="22"/>
          <w:szCs w:val="22"/>
        </w:rPr>
        <w:t>.</w:t>
      </w:r>
      <w:r w:rsidR="009B74D5" w:rsidRPr="009B74D5">
        <w:rPr>
          <w:rFonts w:ascii="Aptos" w:hAnsi="Aptos" w:cstheme="minorHAnsi"/>
          <w:sz w:val="22"/>
          <w:szCs w:val="22"/>
        </w:rPr>
        <w:t>426,92</w:t>
      </w:r>
      <w:r w:rsidR="009B74D5">
        <w:rPr>
          <w:rFonts w:ascii="Aptos" w:hAnsi="Aptos" w:cstheme="minorHAnsi"/>
          <w:sz w:val="22"/>
          <w:szCs w:val="22"/>
        </w:rPr>
        <w:t xml:space="preserve"> €</w:t>
      </w:r>
    </w:p>
    <w:p w14:paraId="44726249" w14:textId="15F720DA" w:rsidR="009B74D5" w:rsidRPr="009B74D5" w:rsidRDefault="009B74D5" w:rsidP="009B74D5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povećanje vrijednosti umjetničkih literalnih i znanstvenih djela – šifra </w:t>
      </w:r>
      <w:r w:rsidR="00C05C10">
        <w:rPr>
          <w:rFonts w:ascii="Aptos" w:hAnsi="Aptos" w:cstheme="minorHAnsi"/>
          <w:sz w:val="22"/>
          <w:szCs w:val="22"/>
        </w:rPr>
        <w:t>0263 uslijed nabave video materijala, zidnih kolaža, zvučnih zapisa i multimedijalnih sadržaja u okviru opremanja interpretacijskog centra</w:t>
      </w:r>
    </w:p>
    <w:p w14:paraId="1A402E5B" w14:textId="77777777" w:rsidR="00C05C10" w:rsidRDefault="00453E01" w:rsidP="00C05C10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theme="minorHAnsi"/>
          <w:sz w:val="22"/>
          <w:szCs w:val="22"/>
        </w:rPr>
      </w:pPr>
      <w:r w:rsidRPr="00C05C10">
        <w:rPr>
          <w:rFonts w:ascii="Aptos" w:hAnsi="Aptos" w:cstheme="minorHAnsi"/>
          <w:sz w:val="22"/>
          <w:szCs w:val="22"/>
        </w:rPr>
        <w:t>povećanje vrijednosti dugotrajne nefinancijske imovine u pripremi – šifra 05 koje se odnosi na Grad Bakar koji je u 202</w:t>
      </w:r>
      <w:r w:rsidR="00C05C10" w:rsidRPr="00C05C10">
        <w:rPr>
          <w:rFonts w:ascii="Aptos" w:hAnsi="Aptos" w:cstheme="minorHAnsi"/>
          <w:sz w:val="22"/>
          <w:szCs w:val="22"/>
        </w:rPr>
        <w:t>3</w:t>
      </w:r>
      <w:r w:rsidRPr="00C05C10">
        <w:rPr>
          <w:rFonts w:ascii="Aptos" w:hAnsi="Aptos" w:cstheme="minorHAnsi"/>
          <w:sz w:val="22"/>
          <w:szCs w:val="22"/>
        </w:rPr>
        <w:t xml:space="preserve">. godini </w:t>
      </w:r>
      <w:r w:rsidR="00C05C10" w:rsidRPr="00C05C10">
        <w:rPr>
          <w:rFonts w:ascii="Aptos" w:hAnsi="Aptos" w:cstheme="minorHAnsi"/>
          <w:sz w:val="22"/>
          <w:szCs w:val="22"/>
        </w:rPr>
        <w:t xml:space="preserve">nastavio i </w:t>
      </w:r>
      <w:r w:rsidRPr="00C05C10">
        <w:rPr>
          <w:rFonts w:ascii="Aptos" w:hAnsi="Aptos" w:cstheme="minorHAnsi"/>
          <w:sz w:val="22"/>
          <w:szCs w:val="22"/>
        </w:rPr>
        <w:t xml:space="preserve">započeo razne kapitalne projekte: </w:t>
      </w:r>
      <w:r w:rsidR="00C05C10" w:rsidRPr="00F61B8D">
        <w:rPr>
          <w:rFonts w:ascii="Aptos" w:hAnsi="Aptos" w:cstheme="minorHAnsi"/>
          <w:sz w:val="22"/>
          <w:szCs w:val="22"/>
        </w:rPr>
        <w:t>izgradnja prometnice za plato B6.2</w:t>
      </w:r>
      <w:r w:rsidR="00C05C10">
        <w:rPr>
          <w:rFonts w:ascii="Aptos" w:hAnsi="Aptos" w:cstheme="minorHAnsi"/>
          <w:sz w:val="22"/>
          <w:szCs w:val="22"/>
        </w:rPr>
        <w:t xml:space="preserve">, </w:t>
      </w:r>
      <w:r w:rsidR="00C05C10" w:rsidRPr="00F61B8D">
        <w:rPr>
          <w:rFonts w:ascii="Aptos" w:hAnsi="Aptos" w:cstheme="minorHAnsi"/>
          <w:sz w:val="22"/>
          <w:szCs w:val="22"/>
        </w:rPr>
        <w:t>izgradnja garaže Voj u Bakru,</w:t>
      </w:r>
      <w:r w:rsidR="00C05C10">
        <w:rPr>
          <w:rFonts w:ascii="Aptos" w:hAnsi="Aptos" w:cstheme="minorHAnsi"/>
          <w:sz w:val="22"/>
          <w:szCs w:val="22"/>
        </w:rPr>
        <w:t xml:space="preserve"> </w:t>
      </w:r>
      <w:r w:rsidR="00C05C10" w:rsidRPr="00F61B8D">
        <w:rPr>
          <w:rFonts w:ascii="Aptos" w:hAnsi="Aptos" w:cstheme="minorHAnsi"/>
          <w:sz w:val="22"/>
          <w:szCs w:val="22"/>
        </w:rPr>
        <w:t>rekonstrukcija i izgradnja objekta NK Borac</w:t>
      </w:r>
      <w:r w:rsidR="00C05C10">
        <w:rPr>
          <w:rFonts w:ascii="Aptos" w:hAnsi="Aptos" w:cstheme="minorHAnsi"/>
          <w:sz w:val="22"/>
          <w:szCs w:val="22"/>
        </w:rPr>
        <w:t xml:space="preserve">, </w:t>
      </w:r>
      <w:r w:rsidR="00C05C10" w:rsidRPr="00F61B8D">
        <w:rPr>
          <w:rFonts w:ascii="Aptos" w:hAnsi="Aptos" w:cstheme="minorHAnsi"/>
          <w:sz w:val="22"/>
          <w:szCs w:val="22"/>
        </w:rPr>
        <w:t>restauratorski radovi na Kaštelu</w:t>
      </w:r>
      <w:r w:rsidR="00C05C10">
        <w:rPr>
          <w:rFonts w:ascii="Aptos" w:hAnsi="Aptos" w:cstheme="minorHAnsi"/>
          <w:sz w:val="22"/>
          <w:szCs w:val="22"/>
        </w:rPr>
        <w:t xml:space="preserve">, </w:t>
      </w:r>
      <w:r w:rsidR="00C05C10" w:rsidRPr="00F61B8D">
        <w:rPr>
          <w:rFonts w:ascii="Aptos" w:hAnsi="Aptos" w:cstheme="minorHAnsi"/>
          <w:sz w:val="22"/>
          <w:szCs w:val="22"/>
        </w:rPr>
        <w:t>uređenje Doma kulture Krasica</w:t>
      </w:r>
      <w:r w:rsidR="00C05C10">
        <w:rPr>
          <w:rFonts w:ascii="Aptos" w:hAnsi="Aptos" w:cstheme="minorHAnsi"/>
          <w:sz w:val="22"/>
          <w:szCs w:val="22"/>
        </w:rPr>
        <w:t xml:space="preserve">, </w:t>
      </w:r>
      <w:r w:rsidR="00C05C10" w:rsidRPr="00F61B8D">
        <w:rPr>
          <w:rFonts w:ascii="Aptos" w:hAnsi="Aptos" w:cstheme="minorHAnsi"/>
          <w:sz w:val="22"/>
          <w:szCs w:val="22"/>
        </w:rPr>
        <w:t>izgradnj</w:t>
      </w:r>
      <w:r w:rsidR="00C05C10">
        <w:rPr>
          <w:rFonts w:ascii="Aptos" w:hAnsi="Aptos" w:cstheme="minorHAnsi"/>
          <w:sz w:val="22"/>
          <w:szCs w:val="22"/>
        </w:rPr>
        <w:t>a kanalizacijskog sustava odnosno</w:t>
      </w:r>
      <w:r w:rsidR="00C05C10" w:rsidRPr="00F61B8D">
        <w:rPr>
          <w:rFonts w:ascii="Aptos" w:hAnsi="Aptos" w:cstheme="minorHAnsi"/>
          <w:sz w:val="22"/>
          <w:szCs w:val="22"/>
        </w:rPr>
        <w:t xml:space="preserve"> glavnog kolektora i UPOV-a Bakar</w:t>
      </w:r>
      <w:r w:rsidR="00C05C10">
        <w:rPr>
          <w:rFonts w:ascii="Aptos" w:hAnsi="Aptos" w:cstheme="minorHAnsi"/>
          <w:sz w:val="22"/>
          <w:szCs w:val="22"/>
        </w:rPr>
        <w:t xml:space="preserve">. </w:t>
      </w:r>
    </w:p>
    <w:p w14:paraId="3911F733" w14:textId="3DF9CC5D" w:rsidR="00C05C10" w:rsidRPr="00C05C10" w:rsidRDefault="00453E01" w:rsidP="00490005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C05C10">
        <w:rPr>
          <w:rFonts w:ascii="Aptos" w:hAnsi="Aptos" w:cs="Calibri"/>
          <w:sz w:val="22"/>
          <w:szCs w:val="22"/>
        </w:rPr>
        <w:t xml:space="preserve">Detaljnija obrazloženja uz vrijednosti nefinancijske imovine </w:t>
      </w:r>
      <w:r w:rsidR="00C05C10">
        <w:rPr>
          <w:rFonts w:ascii="Aptos" w:hAnsi="Aptos" w:cs="Calibri"/>
          <w:sz w:val="22"/>
          <w:szCs w:val="22"/>
        </w:rPr>
        <w:t>navedena</w:t>
      </w:r>
      <w:r w:rsidRPr="00C05C10">
        <w:rPr>
          <w:rFonts w:ascii="Aptos" w:hAnsi="Aptos" w:cs="Calibri"/>
          <w:sz w:val="22"/>
          <w:szCs w:val="22"/>
        </w:rPr>
        <w:t xml:space="preserve"> su u bilješkama uz financijska izvješća za svakog korisnika posebno.</w:t>
      </w:r>
    </w:p>
    <w:p w14:paraId="5B6351C4" w14:textId="77777777" w:rsidR="00453E01" w:rsidRPr="00C05C10" w:rsidRDefault="00453E01" w:rsidP="0045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="Calibri"/>
          <w:b/>
          <w:color w:val="000000"/>
          <w:sz w:val="22"/>
          <w:szCs w:val="22"/>
        </w:rPr>
      </w:pPr>
      <w:r w:rsidRPr="00C05C10">
        <w:rPr>
          <w:rFonts w:ascii="Aptos" w:hAnsi="Aptos" w:cs="Calibri"/>
          <w:b/>
          <w:color w:val="000000"/>
          <w:sz w:val="22"/>
          <w:szCs w:val="22"/>
        </w:rPr>
        <w:t>ŠIFRA 1 -  FINANCIJSKA IMOVINA</w:t>
      </w:r>
    </w:p>
    <w:p w14:paraId="0C44AB4A" w14:textId="4EA3FFD1" w:rsidR="00453E01" w:rsidRPr="00C05C10" w:rsidRDefault="00453E01" w:rsidP="00C05C10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C05C10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9D1DEC">
        <w:rPr>
          <w:rFonts w:ascii="Aptos" w:hAnsi="Aptos" w:cs="Calibri"/>
          <w:b/>
          <w:bCs/>
          <w:color w:val="000000"/>
          <w:sz w:val="22"/>
          <w:szCs w:val="22"/>
        </w:rPr>
        <w:t>4</w:t>
      </w:r>
      <w:r w:rsidRPr="00C05C10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6BB60AC1" w14:textId="11EACA30" w:rsidR="00BB5EB0" w:rsidRDefault="00453E01" w:rsidP="00BB5EB0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715F82">
        <w:rPr>
          <w:rFonts w:ascii="Aptos" w:hAnsi="Aptos" w:cs="Calibri"/>
          <w:sz w:val="22"/>
          <w:szCs w:val="22"/>
        </w:rPr>
        <w:t xml:space="preserve">Ukupna konsolidirana financijska imovina na kraju obračunskog razdoblja iznosi </w:t>
      </w:r>
      <w:r w:rsidR="00715F82">
        <w:rPr>
          <w:rFonts w:ascii="Aptos" w:hAnsi="Aptos" w:cs="Calibri"/>
          <w:sz w:val="22"/>
          <w:szCs w:val="22"/>
        </w:rPr>
        <w:t>39.232.510,35 €</w:t>
      </w:r>
      <w:r w:rsidRPr="00715F82">
        <w:rPr>
          <w:rFonts w:ascii="Aptos" w:hAnsi="Aptos" w:cs="Calibri"/>
          <w:sz w:val="22"/>
          <w:szCs w:val="22"/>
        </w:rPr>
        <w:t>, što je u odnosu na istu imovinu na kraju 202</w:t>
      </w:r>
      <w:r w:rsidR="00715F82">
        <w:rPr>
          <w:rFonts w:ascii="Aptos" w:hAnsi="Aptos" w:cs="Calibri"/>
          <w:sz w:val="22"/>
          <w:szCs w:val="22"/>
        </w:rPr>
        <w:t>2</w:t>
      </w:r>
      <w:r w:rsidRPr="00715F82">
        <w:rPr>
          <w:rFonts w:ascii="Aptos" w:hAnsi="Aptos" w:cs="Calibri"/>
          <w:sz w:val="22"/>
          <w:szCs w:val="22"/>
        </w:rPr>
        <w:t xml:space="preserve">. godine </w:t>
      </w:r>
      <w:r w:rsidR="00715F82">
        <w:rPr>
          <w:rFonts w:ascii="Aptos" w:hAnsi="Aptos" w:cs="Calibri"/>
          <w:sz w:val="22"/>
          <w:szCs w:val="22"/>
        </w:rPr>
        <w:t>više za 8,6</w:t>
      </w:r>
      <w:r w:rsidRPr="00715F82">
        <w:rPr>
          <w:rFonts w:ascii="Aptos" w:hAnsi="Aptos" w:cs="Calibri"/>
          <w:sz w:val="22"/>
          <w:szCs w:val="22"/>
        </w:rPr>
        <w:t>%. Grad Bakar ima jedinstveni transakcijski ra</w:t>
      </w:r>
      <w:r w:rsidRPr="00715F82">
        <w:rPr>
          <w:rFonts w:ascii="Aptos" w:hAnsi="Aptos" w:cs="Calibri" w:hint="eastAsia"/>
          <w:sz w:val="22"/>
          <w:szCs w:val="22"/>
        </w:rPr>
        <w:t>č</w:t>
      </w:r>
      <w:r w:rsidRPr="00715F82">
        <w:rPr>
          <w:rFonts w:ascii="Aptos" w:hAnsi="Aptos" w:cs="Calibri"/>
          <w:sz w:val="22"/>
          <w:szCs w:val="22"/>
        </w:rPr>
        <w:t>un prora</w:t>
      </w:r>
      <w:r w:rsidRPr="00715F82">
        <w:rPr>
          <w:rFonts w:ascii="Aptos" w:hAnsi="Aptos" w:cs="Calibri" w:hint="eastAsia"/>
          <w:sz w:val="22"/>
          <w:szCs w:val="22"/>
        </w:rPr>
        <w:t>č</w:t>
      </w:r>
      <w:r w:rsidRPr="00715F82">
        <w:rPr>
          <w:rFonts w:ascii="Aptos" w:hAnsi="Aptos" w:cs="Calibri"/>
          <w:sz w:val="22"/>
          <w:szCs w:val="22"/>
        </w:rPr>
        <w:t>una na kojem se ostvaruju svi priljevi i izvr</w:t>
      </w:r>
      <w:r w:rsidRPr="00715F82">
        <w:rPr>
          <w:rFonts w:ascii="Aptos" w:hAnsi="Aptos" w:cs="Calibri" w:hint="eastAsia"/>
          <w:sz w:val="22"/>
          <w:szCs w:val="22"/>
        </w:rPr>
        <w:t>š</w:t>
      </w:r>
      <w:r w:rsidRPr="00715F82">
        <w:rPr>
          <w:rFonts w:ascii="Aptos" w:hAnsi="Aptos" w:cs="Calibri"/>
          <w:sz w:val="22"/>
          <w:szCs w:val="22"/>
        </w:rPr>
        <w:t>avaju svi odljevi prora</w:t>
      </w:r>
      <w:r w:rsidRPr="00715F82">
        <w:rPr>
          <w:rFonts w:ascii="Aptos" w:hAnsi="Aptos" w:cs="Calibri" w:hint="eastAsia"/>
          <w:sz w:val="22"/>
          <w:szCs w:val="22"/>
        </w:rPr>
        <w:t>č</w:t>
      </w:r>
      <w:r w:rsidRPr="00715F82">
        <w:rPr>
          <w:rFonts w:ascii="Aptos" w:hAnsi="Aptos" w:cs="Calibri"/>
          <w:sz w:val="22"/>
          <w:szCs w:val="22"/>
        </w:rPr>
        <w:t>una i prora</w:t>
      </w:r>
      <w:r w:rsidRPr="00715F82">
        <w:rPr>
          <w:rFonts w:ascii="Aptos" w:hAnsi="Aptos" w:cs="Calibri" w:hint="eastAsia"/>
          <w:sz w:val="22"/>
          <w:szCs w:val="22"/>
        </w:rPr>
        <w:t>č</w:t>
      </w:r>
      <w:r w:rsidRPr="00715F82">
        <w:rPr>
          <w:rFonts w:ascii="Aptos" w:hAnsi="Aptos" w:cs="Calibri"/>
          <w:sz w:val="22"/>
          <w:szCs w:val="22"/>
        </w:rPr>
        <w:t>unskih korisnika Grada Bakra.</w:t>
      </w:r>
    </w:p>
    <w:p w14:paraId="1AEF6230" w14:textId="1046EC55" w:rsidR="009D1DEC" w:rsidRPr="009D1DEC" w:rsidRDefault="009D1DEC" w:rsidP="009D1DEC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C05C10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5</w:t>
      </w:r>
      <w:r w:rsidRPr="00C05C10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66C6FEDB" w14:textId="029197CD" w:rsidR="00453E01" w:rsidRPr="00715F82" w:rsidRDefault="00453E01" w:rsidP="00453E01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715F82">
        <w:rPr>
          <w:rFonts w:ascii="Aptos" w:hAnsi="Aptos" w:cs="Calibri"/>
          <w:sz w:val="22"/>
          <w:szCs w:val="22"/>
        </w:rPr>
        <w:t>Financijska imovina Grada Bakra na dan 31.12.202</w:t>
      </w:r>
      <w:r w:rsidR="00715F82">
        <w:rPr>
          <w:rFonts w:ascii="Aptos" w:hAnsi="Aptos" w:cs="Calibri"/>
          <w:sz w:val="22"/>
          <w:szCs w:val="22"/>
        </w:rPr>
        <w:t>3</w:t>
      </w:r>
      <w:r w:rsidRPr="00715F82">
        <w:rPr>
          <w:rFonts w:ascii="Aptos" w:hAnsi="Aptos" w:cs="Calibri"/>
          <w:sz w:val="22"/>
          <w:szCs w:val="22"/>
        </w:rPr>
        <w:t xml:space="preserve">. godine iznosi </w:t>
      </w:r>
      <w:r w:rsidR="00804B52">
        <w:rPr>
          <w:rFonts w:ascii="Aptos" w:hAnsi="Aptos" w:cs="Calibri"/>
          <w:sz w:val="22"/>
          <w:szCs w:val="22"/>
        </w:rPr>
        <w:t>39.207.413,18 €</w:t>
      </w:r>
      <w:r w:rsidRPr="00715F82">
        <w:rPr>
          <w:rFonts w:ascii="Aptos" w:hAnsi="Aptos" w:cs="Calibri"/>
          <w:sz w:val="22"/>
          <w:szCs w:val="22"/>
        </w:rPr>
        <w:t>, a sastoji se od:</w:t>
      </w:r>
    </w:p>
    <w:p w14:paraId="7B2C0001" w14:textId="66240CF4" w:rsidR="00453E01" w:rsidRPr="00804B5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 xml:space="preserve">stanja novca na žiro računu, izdvojenim računima i blagajni u iznosu od </w:t>
      </w:r>
      <w:r w:rsidR="00804B52">
        <w:rPr>
          <w:rFonts w:ascii="Aptos" w:hAnsi="Aptos" w:cs="Calibri"/>
          <w:sz w:val="22"/>
          <w:szCs w:val="22"/>
        </w:rPr>
        <w:t>7.072.977,46 €</w:t>
      </w:r>
    </w:p>
    <w:p w14:paraId="62092E82" w14:textId="1B1852DF" w:rsidR="00453E01" w:rsidRPr="00804B5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 xml:space="preserve">potraživanja od zaposlenih, za više plaćene poreze i ostala potraživanja od </w:t>
      </w:r>
      <w:r w:rsidR="00804B52">
        <w:rPr>
          <w:rFonts w:ascii="Aptos" w:hAnsi="Aptos" w:cs="Calibri"/>
          <w:sz w:val="22"/>
          <w:szCs w:val="22"/>
        </w:rPr>
        <w:t>2.914,15 €</w:t>
      </w:r>
    </w:p>
    <w:p w14:paraId="154A0CB8" w14:textId="46C07370" w:rsidR="00453E01" w:rsidRPr="00804B5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 xml:space="preserve">potraživanja za dane zajmove u iznosu od </w:t>
      </w:r>
      <w:r w:rsidR="00804B52">
        <w:rPr>
          <w:rFonts w:ascii="Aptos" w:hAnsi="Aptos" w:cs="Calibri"/>
          <w:sz w:val="22"/>
          <w:szCs w:val="22"/>
        </w:rPr>
        <w:t>59.360,67 €</w:t>
      </w:r>
      <w:r w:rsidRPr="00804B52">
        <w:rPr>
          <w:rFonts w:ascii="Aptos" w:hAnsi="Aptos" w:cs="Calibri"/>
          <w:sz w:val="22"/>
          <w:szCs w:val="22"/>
        </w:rPr>
        <w:t>, a obuhvaćaju prihode iz cijene komunalne usluge za razvoj  koji nisu utrošeni do kraja proračunske godine i evidentirani su kao dani zajam komunaln</w:t>
      </w:r>
      <w:r w:rsidR="00804B52">
        <w:rPr>
          <w:rFonts w:ascii="Aptos" w:hAnsi="Aptos" w:cs="Calibri"/>
          <w:sz w:val="22"/>
          <w:szCs w:val="22"/>
        </w:rPr>
        <w:t>i</w:t>
      </w:r>
      <w:r w:rsidRPr="00804B52">
        <w:rPr>
          <w:rFonts w:ascii="Aptos" w:hAnsi="Aptos" w:cs="Calibri"/>
          <w:sz w:val="22"/>
          <w:szCs w:val="22"/>
        </w:rPr>
        <w:t>m društv</w:t>
      </w:r>
      <w:r w:rsidR="00804B52">
        <w:rPr>
          <w:rFonts w:ascii="Aptos" w:hAnsi="Aptos" w:cs="Calibri"/>
          <w:sz w:val="22"/>
          <w:szCs w:val="22"/>
        </w:rPr>
        <w:t>ima</w:t>
      </w:r>
      <w:r w:rsidRPr="00804B52">
        <w:rPr>
          <w:rFonts w:ascii="Aptos" w:hAnsi="Aptos" w:cs="Calibri"/>
          <w:sz w:val="22"/>
          <w:szCs w:val="22"/>
        </w:rPr>
        <w:t xml:space="preserve"> Čistoća d.o.o. Rijeka</w:t>
      </w:r>
      <w:r w:rsidR="00804B52">
        <w:rPr>
          <w:rFonts w:ascii="Aptos" w:hAnsi="Aptos" w:cs="Calibri"/>
          <w:sz w:val="22"/>
          <w:szCs w:val="22"/>
        </w:rPr>
        <w:t xml:space="preserve"> i Autotrolej d.o.o. Rijeka</w:t>
      </w:r>
    </w:p>
    <w:p w14:paraId="54D69A00" w14:textId="01A47F51" w:rsidR="00453E01" w:rsidRPr="00804B5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 xml:space="preserve">potraživanja za ulaganja u udjele u  glavnicama trgovačkih društava u iznosu od </w:t>
      </w:r>
      <w:r w:rsidR="00804B52">
        <w:rPr>
          <w:rFonts w:ascii="Aptos" w:hAnsi="Aptos" w:cs="Calibri"/>
          <w:sz w:val="22"/>
          <w:szCs w:val="22"/>
        </w:rPr>
        <w:t>30.872.903,12 €</w:t>
      </w:r>
      <w:r w:rsidRPr="00804B52">
        <w:rPr>
          <w:rFonts w:ascii="Aptos" w:hAnsi="Aptos" w:cs="Calibri"/>
          <w:sz w:val="22"/>
          <w:szCs w:val="22"/>
        </w:rPr>
        <w:t xml:space="preserve"> </w:t>
      </w:r>
    </w:p>
    <w:p w14:paraId="47DEE3D1" w14:textId="0F19A436" w:rsidR="00453E01" w:rsidRPr="00804B5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 xml:space="preserve">potraživanja za prihode poslovanja od </w:t>
      </w:r>
      <w:r w:rsidR="00804B52">
        <w:rPr>
          <w:rFonts w:ascii="Aptos" w:hAnsi="Aptos" w:cs="Calibri"/>
          <w:sz w:val="22"/>
          <w:szCs w:val="22"/>
        </w:rPr>
        <w:t>1.139.190,75 €</w:t>
      </w:r>
      <w:r w:rsidRPr="00804B52">
        <w:rPr>
          <w:rFonts w:ascii="Aptos" w:hAnsi="Aptos" w:cs="Calibri"/>
          <w:sz w:val="22"/>
          <w:szCs w:val="22"/>
        </w:rPr>
        <w:t>,</w:t>
      </w:r>
    </w:p>
    <w:p w14:paraId="4CD69F64" w14:textId="5E1F8129" w:rsidR="00453E01" w:rsidRPr="00804B5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 xml:space="preserve">potraživanja od prodaje nefinancijske imovine u iznosu od </w:t>
      </w:r>
      <w:r w:rsidR="00804B52">
        <w:rPr>
          <w:rFonts w:ascii="Aptos" w:hAnsi="Aptos" w:cs="Calibri"/>
          <w:sz w:val="22"/>
          <w:szCs w:val="22"/>
        </w:rPr>
        <w:t>37.911,60 €</w:t>
      </w:r>
    </w:p>
    <w:p w14:paraId="60ADB0B1" w14:textId="3D3738AA" w:rsidR="00453E01" w:rsidRPr="00804B5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 xml:space="preserve">potraživanja za rashode budućeg razdoblja u iznosu od </w:t>
      </w:r>
      <w:r w:rsidR="00804B52">
        <w:rPr>
          <w:rFonts w:ascii="Aptos" w:hAnsi="Aptos" w:cs="Calibri"/>
          <w:sz w:val="22"/>
          <w:szCs w:val="22"/>
        </w:rPr>
        <w:t>13.072,25 €</w:t>
      </w:r>
      <w:r w:rsidRPr="00804B52">
        <w:rPr>
          <w:rFonts w:ascii="Aptos" w:hAnsi="Aptos" w:cs="Calibri"/>
          <w:sz w:val="22"/>
          <w:szCs w:val="22"/>
        </w:rPr>
        <w:t xml:space="preserve"> </w:t>
      </w:r>
    </w:p>
    <w:p w14:paraId="21798514" w14:textId="0707FE8C" w:rsidR="00804B52" w:rsidRPr="00804B52" w:rsidRDefault="00453E01" w:rsidP="00BE01A9">
      <w:pPr>
        <w:pStyle w:val="Odlomakpopisa"/>
        <w:numPr>
          <w:ilvl w:val="0"/>
          <w:numId w:val="12"/>
        </w:numPr>
        <w:spacing w:before="60" w:after="60"/>
        <w:ind w:left="-425" w:right="-380" w:firstLine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804B52">
        <w:rPr>
          <w:rFonts w:ascii="Aptos" w:hAnsi="Aptos" w:cs="Calibri"/>
          <w:sz w:val="22"/>
          <w:szCs w:val="22"/>
        </w:rPr>
        <w:t xml:space="preserve">potraživanja za nedospjelu naplatu prihoda u iznosu od </w:t>
      </w:r>
      <w:r w:rsidR="00804B52" w:rsidRPr="00804B52">
        <w:rPr>
          <w:rFonts w:ascii="Aptos" w:hAnsi="Aptos" w:cs="Calibri"/>
          <w:sz w:val="22"/>
          <w:szCs w:val="22"/>
        </w:rPr>
        <w:t>9.083,18 €</w:t>
      </w:r>
      <w:r w:rsidR="00804B52">
        <w:rPr>
          <w:rFonts w:ascii="Aptos" w:hAnsi="Aptos" w:cs="Calibri"/>
          <w:sz w:val="22"/>
          <w:szCs w:val="22"/>
        </w:rPr>
        <w:t>.</w:t>
      </w:r>
    </w:p>
    <w:p w14:paraId="7125C4C4" w14:textId="0BAFA478" w:rsidR="009D1DEC" w:rsidRPr="009D1DEC" w:rsidRDefault="009D1DEC" w:rsidP="009D1DEC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9D1DEC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6</w:t>
      </w:r>
      <w:r w:rsidRPr="009D1DE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8A9704E" w14:textId="0BE5276A" w:rsidR="00453E01" w:rsidRPr="00BB41F8" w:rsidRDefault="00453E01" w:rsidP="00BB41F8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BB41F8">
        <w:rPr>
          <w:rFonts w:ascii="Aptos" w:hAnsi="Aptos" w:cs="Calibri"/>
          <w:sz w:val="22"/>
          <w:szCs w:val="22"/>
        </w:rPr>
        <w:t xml:space="preserve">Financijska imovina Dječjeg vrtića Bakar iznosi </w:t>
      </w:r>
      <w:r w:rsidR="009573AD">
        <w:rPr>
          <w:rFonts w:ascii="Aptos" w:hAnsi="Aptos" w:cs="Calibri"/>
          <w:sz w:val="22"/>
          <w:szCs w:val="22"/>
        </w:rPr>
        <w:t>70.339,15</w:t>
      </w:r>
      <w:r w:rsidR="00BB41F8">
        <w:rPr>
          <w:rFonts w:ascii="Aptos" w:hAnsi="Aptos" w:cs="Calibri"/>
          <w:sz w:val="22"/>
          <w:szCs w:val="22"/>
        </w:rPr>
        <w:t xml:space="preserve"> € </w:t>
      </w:r>
      <w:r w:rsidRPr="00BB41F8">
        <w:rPr>
          <w:rFonts w:ascii="Aptos" w:hAnsi="Aptos" w:cs="Calibri"/>
          <w:sz w:val="22"/>
          <w:szCs w:val="22"/>
        </w:rPr>
        <w:t>i obuhvaća:</w:t>
      </w:r>
    </w:p>
    <w:p w14:paraId="7B33A43A" w14:textId="3DEB6C2F" w:rsidR="00BB41F8" w:rsidRDefault="00453E01" w:rsidP="00ED6389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BB41F8">
        <w:rPr>
          <w:rFonts w:ascii="Aptos" w:hAnsi="Aptos" w:cs="Calibri"/>
          <w:sz w:val="22"/>
          <w:szCs w:val="22"/>
        </w:rPr>
        <w:t xml:space="preserve">potraživanja od zaposlenih i od naknada koje se refundiraju u iznosu od </w:t>
      </w:r>
      <w:r w:rsidR="009573AD">
        <w:rPr>
          <w:rFonts w:ascii="Aptos" w:hAnsi="Aptos" w:cs="Calibri"/>
          <w:sz w:val="22"/>
          <w:szCs w:val="22"/>
        </w:rPr>
        <w:t>2.030,66</w:t>
      </w:r>
      <w:r w:rsidR="00BB41F8">
        <w:rPr>
          <w:rFonts w:ascii="Aptos" w:hAnsi="Aptos" w:cs="Calibri"/>
          <w:sz w:val="22"/>
          <w:szCs w:val="22"/>
        </w:rPr>
        <w:t xml:space="preserve"> €</w:t>
      </w:r>
    </w:p>
    <w:p w14:paraId="4E7E6484" w14:textId="04597DE3" w:rsidR="00BB41F8" w:rsidRDefault="00453E01" w:rsidP="00E814F8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BB41F8">
        <w:rPr>
          <w:rFonts w:ascii="Aptos" w:hAnsi="Aptos" w:cs="Calibri"/>
          <w:sz w:val="22"/>
          <w:szCs w:val="22"/>
        </w:rPr>
        <w:t xml:space="preserve">potraživanja od roditelja za usluge boravka djece u vrtiću  u iznosu od </w:t>
      </w:r>
      <w:r w:rsidR="009573AD">
        <w:rPr>
          <w:rFonts w:ascii="Aptos" w:hAnsi="Aptos" w:cs="Calibri"/>
          <w:sz w:val="22"/>
          <w:szCs w:val="22"/>
        </w:rPr>
        <w:t>24.136,75</w:t>
      </w:r>
      <w:r w:rsidR="00BB41F8">
        <w:rPr>
          <w:rFonts w:ascii="Aptos" w:hAnsi="Aptos" w:cs="Calibri"/>
          <w:sz w:val="22"/>
          <w:szCs w:val="22"/>
        </w:rPr>
        <w:t xml:space="preserve"> €</w:t>
      </w:r>
    </w:p>
    <w:p w14:paraId="31A8DEBC" w14:textId="74109A33" w:rsidR="00453E01" w:rsidRPr="00BB41F8" w:rsidRDefault="00453E01" w:rsidP="00E814F8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BB41F8">
        <w:rPr>
          <w:rFonts w:ascii="Aptos" w:hAnsi="Aptos" w:cs="Calibri"/>
          <w:sz w:val="22"/>
          <w:szCs w:val="22"/>
        </w:rPr>
        <w:t xml:space="preserve">potraživanja od prihoda iz proračuna Grada Bakra u iznosu od </w:t>
      </w:r>
      <w:r w:rsidR="009573AD">
        <w:rPr>
          <w:rFonts w:ascii="Aptos" w:hAnsi="Aptos" w:cs="Calibri"/>
          <w:sz w:val="22"/>
          <w:szCs w:val="22"/>
        </w:rPr>
        <w:t>45.304,27</w:t>
      </w:r>
      <w:r w:rsidR="00BB41F8">
        <w:rPr>
          <w:rFonts w:ascii="Aptos" w:hAnsi="Aptos" w:cs="Calibri"/>
          <w:sz w:val="22"/>
          <w:szCs w:val="22"/>
        </w:rPr>
        <w:t xml:space="preserve"> €</w:t>
      </w:r>
      <w:r w:rsidRPr="00BB41F8">
        <w:rPr>
          <w:rFonts w:ascii="Aptos" w:hAnsi="Aptos" w:cs="Calibri"/>
          <w:sz w:val="22"/>
          <w:szCs w:val="22"/>
        </w:rPr>
        <w:t xml:space="preserve">, a </w:t>
      </w:r>
      <w:r w:rsidR="00BB41F8">
        <w:rPr>
          <w:rFonts w:ascii="Aptos" w:hAnsi="Aptos" w:cs="Calibri"/>
          <w:sz w:val="22"/>
          <w:szCs w:val="22"/>
        </w:rPr>
        <w:t xml:space="preserve">koja su </w:t>
      </w:r>
      <w:r w:rsidRPr="00BB41F8">
        <w:rPr>
          <w:rFonts w:ascii="Aptos" w:hAnsi="Aptos" w:cs="Calibri"/>
          <w:sz w:val="22"/>
          <w:szCs w:val="22"/>
        </w:rPr>
        <w:t>eliminirana u istom iznosu s obvezom Grada Bakra za naplaćene prihode proračunskog korisnika - Dječji vrtić Bakar.</w:t>
      </w:r>
    </w:p>
    <w:p w14:paraId="3A3EA349" w14:textId="48C8FBC5" w:rsidR="009D1DEC" w:rsidRPr="009D1DEC" w:rsidRDefault="009D1DEC" w:rsidP="009D1DEC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9D1DEC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7</w:t>
      </w:r>
      <w:r w:rsidRPr="009D1DE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36759A61" w14:textId="6C4550EE" w:rsidR="00453E01" w:rsidRPr="00BB41F8" w:rsidRDefault="00453E01" w:rsidP="00453E01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BB41F8">
        <w:rPr>
          <w:rFonts w:ascii="Aptos" w:hAnsi="Aptos" w:cs="Calibri"/>
          <w:sz w:val="22"/>
          <w:szCs w:val="22"/>
        </w:rPr>
        <w:t xml:space="preserve">Financijska imovina Gradske knjižnice Bakar iznosi  </w:t>
      </w:r>
      <w:r w:rsidR="009573AD">
        <w:rPr>
          <w:rFonts w:ascii="Aptos" w:hAnsi="Aptos" w:cs="Calibri"/>
          <w:sz w:val="22"/>
          <w:szCs w:val="22"/>
        </w:rPr>
        <w:t>11.105,73</w:t>
      </w:r>
      <w:r w:rsidR="00BB41F8">
        <w:rPr>
          <w:rFonts w:ascii="Aptos" w:hAnsi="Aptos" w:cs="Calibri"/>
          <w:sz w:val="22"/>
          <w:szCs w:val="22"/>
        </w:rPr>
        <w:t xml:space="preserve"> € </w:t>
      </w:r>
      <w:r w:rsidRPr="00BB41F8">
        <w:rPr>
          <w:rFonts w:ascii="Aptos" w:hAnsi="Aptos" w:cs="Calibri"/>
          <w:sz w:val="22"/>
          <w:szCs w:val="22"/>
        </w:rPr>
        <w:t>i obuhvaća:</w:t>
      </w:r>
    </w:p>
    <w:p w14:paraId="58B04B09" w14:textId="5A04AAD6" w:rsidR="00453E01" w:rsidRPr="00BB41F8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BB41F8">
        <w:rPr>
          <w:rFonts w:ascii="Aptos" w:hAnsi="Aptos" w:cs="Calibri"/>
          <w:sz w:val="22"/>
          <w:szCs w:val="22"/>
        </w:rPr>
        <w:t>potraživanja od zaposlenih</w:t>
      </w:r>
      <w:r w:rsidR="00BB41F8">
        <w:rPr>
          <w:rFonts w:ascii="Aptos" w:hAnsi="Aptos" w:cs="Calibri"/>
          <w:sz w:val="22"/>
          <w:szCs w:val="22"/>
        </w:rPr>
        <w:t xml:space="preserve"> i ostala potraživanja</w:t>
      </w:r>
      <w:r w:rsidRPr="00BB41F8">
        <w:rPr>
          <w:rFonts w:ascii="Aptos" w:hAnsi="Aptos" w:cs="Calibri"/>
          <w:sz w:val="22"/>
          <w:szCs w:val="22"/>
        </w:rPr>
        <w:t xml:space="preserve"> u iznosu od </w:t>
      </w:r>
      <w:r w:rsidR="009573AD">
        <w:rPr>
          <w:rFonts w:ascii="Aptos" w:hAnsi="Aptos" w:cs="Calibri"/>
          <w:sz w:val="22"/>
          <w:szCs w:val="22"/>
        </w:rPr>
        <w:t>54</w:t>
      </w:r>
      <w:r w:rsidR="00BB41F8">
        <w:rPr>
          <w:rFonts w:ascii="Aptos" w:hAnsi="Aptos" w:cs="Calibri"/>
          <w:sz w:val="22"/>
          <w:szCs w:val="22"/>
        </w:rPr>
        <w:t>,99 €</w:t>
      </w:r>
    </w:p>
    <w:p w14:paraId="7E3B8343" w14:textId="741FB3E0" w:rsidR="00453E01" w:rsidRPr="00BB41F8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BB41F8">
        <w:rPr>
          <w:rFonts w:ascii="Aptos" w:hAnsi="Aptos" w:cs="Calibri"/>
          <w:sz w:val="22"/>
          <w:szCs w:val="22"/>
        </w:rPr>
        <w:t xml:space="preserve">potraživanja za prihode od prodaje knjiga u iznosu od </w:t>
      </w:r>
      <w:r w:rsidR="009573AD">
        <w:rPr>
          <w:rFonts w:ascii="Aptos" w:hAnsi="Aptos" w:cs="Calibri"/>
          <w:sz w:val="22"/>
          <w:szCs w:val="22"/>
        </w:rPr>
        <w:t>7,30</w:t>
      </w:r>
      <w:r w:rsidR="00BB41F8">
        <w:rPr>
          <w:rFonts w:ascii="Aptos" w:hAnsi="Aptos" w:cs="Calibri"/>
          <w:sz w:val="22"/>
          <w:szCs w:val="22"/>
        </w:rPr>
        <w:t xml:space="preserve"> €</w:t>
      </w:r>
    </w:p>
    <w:p w14:paraId="33DAFAAC" w14:textId="43E4EBD7" w:rsidR="00490005" w:rsidRPr="009D1DEC" w:rsidRDefault="00453E01" w:rsidP="00490005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BB41F8">
        <w:rPr>
          <w:rFonts w:ascii="Aptos" w:hAnsi="Aptos" w:cs="Calibri"/>
          <w:sz w:val="22"/>
          <w:szCs w:val="22"/>
        </w:rPr>
        <w:lastRenderedPageBreak/>
        <w:t xml:space="preserve">potraživanja od prihoda iz proračuna Grada Bakra u iznosu od </w:t>
      </w:r>
      <w:r w:rsidR="009573AD">
        <w:rPr>
          <w:rFonts w:ascii="Aptos" w:hAnsi="Aptos" w:cs="Calibri"/>
          <w:sz w:val="22"/>
          <w:szCs w:val="22"/>
        </w:rPr>
        <w:t>11.043,44</w:t>
      </w:r>
      <w:r w:rsidR="00BB41F8">
        <w:rPr>
          <w:rFonts w:ascii="Aptos" w:hAnsi="Aptos" w:cs="Calibri"/>
          <w:sz w:val="22"/>
          <w:szCs w:val="22"/>
        </w:rPr>
        <w:t xml:space="preserve"> €</w:t>
      </w:r>
      <w:r w:rsidRPr="00BB41F8">
        <w:rPr>
          <w:rFonts w:ascii="Aptos" w:hAnsi="Aptos" w:cs="Calibri"/>
          <w:sz w:val="22"/>
          <w:szCs w:val="22"/>
        </w:rPr>
        <w:t xml:space="preserve">, </w:t>
      </w:r>
      <w:r w:rsidR="00BB41F8">
        <w:rPr>
          <w:rFonts w:ascii="Aptos" w:hAnsi="Aptos" w:cs="Calibri"/>
          <w:sz w:val="22"/>
          <w:szCs w:val="22"/>
        </w:rPr>
        <w:t xml:space="preserve">a koja su </w:t>
      </w:r>
      <w:r w:rsidRPr="00BB41F8">
        <w:rPr>
          <w:rFonts w:ascii="Aptos" w:hAnsi="Aptos" w:cs="Calibri"/>
          <w:sz w:val="22"/>
          <w:szCs w:val="22"/>
        </w:rPr>
        <w:t>eliminirana u istom iznosu s obvezom Grada Bakra za naplaćene prihode proračunskog korisnika – Gradska knjižnica Bakar.</w:t>
      </w:r>
    </w:p>
    <w:p w14:paraId="29A089E6" w14:textId="77777777" w:rsidR="00453E01" w:rsidRPr="009E3A15" w:rsidRDefault="00453E01" w:rsidP="00B55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60" w:after="60"/>
        <w:ind w:left="-425"/>
        <w:jc w:val="both"/>
        <w:rPr>
          <w:rFonts w:ascii="Aptos" w:hAnsi="Aptos" w:cs="Calibri"/>
          <w:b/>
          <w:color w:val="000000"/>
          <w:sz w:val="22"/>
          <w:szCs w:val="22"/>
        </w:rPr>
      </w:pPr>
      <w:r w:rsidRPr="009E3A15">
        <w:rPr>
          <w:rFonts w:ascii="Aptos" w:hAnsi="Aptos" w:cs="Calibri"/>
          <w:b/>
          <w:color w:val="000000"/>
          <w:sz w:val="22"/>
          <w:szCs w:val="22"/>
        </w:rPr>
        <w:t>ŠIFRA 2 - OBVEZE</w:t>
      </w:r>
    </w:p>
    <w:p w14:paraId="0ED6F474" w14:textId="22215C17" w:rsidR="00453E01" w:rsidRPr="00B55F9C" w:rsidRDefault="00453E01" w:rsidP="00B55F9C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Bilješka</w:t>
      </w:r>
      <w:r w:rsidR="009D1DEC">
        <w:rPr>
          <w:rFonts w:ascii="Aptos" w:hAnsi="Aptos" w:cs="Calibri"/>
          <w:b/>
          <w:bCs/>
          <w:color w:val="000000"/>
          <w:sz w:val="22"/>
          <w:szCs w:val="22"/>
        </w:rPr>
        <w:t xml:space="preserve"> 8</w:t>
      </w: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73F592BA" w14:textId="1DE4B5F9" w:rsidR="00951562" w:rsidRDefault="00453E01" w:rsidP="00951562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B55F9C">
        <w:rPr>
          <w:rFonts w:ascii="Aptos" w:hAnsi="Aptos" w:cs="Calibri"/>
          <w:sz w:val="22"/>
          <w:szCs w:val="22"/>
        </w:rPr>
        <w:t>Ukupne obveze  u konsolidiranoj  bilanci  Grada  Bakra na dan 31. prosinca 202</w:t>
      </w:r>
      <w:r w:rsidR="00B55F9C">
        <w:rPr>
          <w:rFonts w:ascii="Aptos" w:hAnsi="Aptos" w:cs="Calibri"/>
          <w:sz w:val="22"/>
          <w:szCs w:val="22"/>
        </w:rPr>
        <w:t>3</w:t>
      </w:r>
      <w:r w:rsidRPr="00B55F9C">
        <w:rPr>
          <w:rFonts w:ascii="Aptos" w:hAnsi="Aptos" w:cs="Calibri"/>
          <w:sz w:val="22"/>
          <w:szCs w:val="22"/>
        </w:rPr>
        <w:t xml:space="preserve">. godine iznose </w:t>
      </w:r>
      <w:r w:rsidR="00020A0B">
        <w:rPr>
          <w:rFonts w:ascii="Aptos" w:hAnsi="Aptos" w:cs="Calibri"/>
          <w:sz w:val="22"/>
          <w:szCs w:val="22"/>
        </w:rPr>
        <w:t>1.244.845,12</w:t>
      </w:r>
      <w:r w:rsidR="00B55F9C">
        <w:rPr>
          <w:rFonts w:ascii="Aptos" w:hAnsi="Aptos" w:cs="Calibri"/>
          <w:sz w:val="22"/>
          <w:szCs w:val="22"/>
        </w:rPr>
        <w:t xml:space="preserve"> €</w:t>
      </w:r>
      <w:r w:rsidRPr="00B55F9C">
        <w:rPr>
          <w:rFonts w:ascii="Aptos" w:hAnsi="Aptos" w:cs="Calibri"/>
          <w:sz w:val="22"/>
          <w:szCs w:val="22"/>
        </w:rPr>
        <w:t xml:space="preserve">. </w:t>
      </w:r>
    </w:p>
    <w:p w14:paraId="75008516" w14:textId="3FB947AD" w:rsidR="00F15C12" w:rsidRDefault="00453E01" w:rsidP="00F15C12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B55F9C">
        <w:rPr>
          <w:rFonts w:ascii="Aptos" w:hAnsi="Aptos" w:cs="Calibri"/>
          <w:sz w:val="22"/>
          <w:szCs w:val="22"/>
        </w:rPr>
        <w:t>U odnosu na iste obveze u 202</w:t>
      </w:r>
      <w:r w:rsidR="00B55F9C">
        <w:rPr>
          <w:rFonts w:ascii="Aptos" w:hAnsi="Aptos" w:cs="Calibri"/>
          <w:sz w:val="22"/>
          <w:szCs w:val="22"/>
        </w:rPr>
        <w:t>2</w:t>
      </w:r>
      <w:r w:rsidRPr="00B55F9C">
        <w:rPr>
          <w:rFonts w:ascii="Aptos" w:hAnsi="Aptos" w:cs="Calibri"/>
          <w:sz w:val="22"/>
          <w:szCs w:val="22"/>
        </w:rPr>
        <w:t xml:space="preserve">. godini </w:t>
      </w:r>
      <w:r w:rsidR="00020A0B">
        <w:rPr>
          <w:rFonts w:ascii="Aptos" w:hAnsi="Aptos" w:cs="Calibri"/>
          <w:sz w:val="22"/>
          <w:szCs w:val="22"/>
        </w:rPr>
        <w:t xml:space="preserve">manje </w:t>
      </w:r>
      <w:r w:rsidRPr="00B55F9C">
        <w:rPr>
          <w:rFonts w:ascii="Aptos" w:hAnsi="Aptos" w:cs="Calibri"/>
          <w:sz w:val="22"/>
          <w:szCs w:val="22"/>
        </w:rPr>
        <w:t xml:space="preserve">su za </w:t>
      </w:r>
      <w:r w:rsidR="00F15C12">
        <w:rPr>
          <w:rFonts w:ascii="Aptos" w:hAnsi="Aptos" w:cs="Calibri"/>
          <w:sz w:val="22"/>
          <w:szCs w:val="22"/>
        </w:rPr>
        <w:t>35,10</w:t>
      </w:r>
      <w:r w:rsidRPr="00B55F9C">
        <w:rPr>
          <w:rFonts w:ascii="Aptos" w:hAnsi="Aptos" w:cs="Calibri"/>
          <w:sz w:val="22"/>
          <w:szCs w:val="22"/>
        </w:rPr>
        <w:t>%, prvenstveno radi</w:t>
      </w:r>
      <w:r w:rsidR="00B55F9C">
        <w:rPr>
          <w:rFonts w:ascii="Aptos" w:hAnsi="Aptos" w:cs="Calibri"/>
          <w:sz w:val="22"/>
          <w:szCs w:val="22"/>
        </w:rPr>
        <w:t xml:space="preserve"> </w:t>
      </w:r>
      <w:r w:rsidR="00F15C12">
        <w:rPr>
          <w:rFonts w:ascii="Aptos" w:hAnsi="Aptos" w:cs="Calibri"/>
          <w:sz w:val="22"/>
          <w:szCs w:val="22"/>
        </w:rPr>
        <w:t xml:space="preserve">manjih iznosa obveza za nabavu nefinancijske imovine. Međutim, usporedbom sa stanjem obveza prošle godine utvrđene su veće </w:t>
      </w:r>
      <w:r w:rsidR="00B55F9C">
        <w:rPr>
          <w:rFonts w:ascii="Aptos" w:hAnsi="Aptos" w:cs="Calibri"/>
          <w:sz w:val="22"/>
          <w:szCs w:val="22"/>
        </w:rPr>
        <w:t>obvez</w:t>
      </w:r>
      <w:r w:rsidR="00F15C12">
        <w:rPr>
          <w:rFonts w:ascii="Aptos" w:hAnsi="Aptos" w:cs="Calibri"/>
          <w:sz w:val="22"/>
          <w:szCs w:val="22"/>
        </w:rPr>
        <w:t>e</w:t>
      </w:r>
      <w:r w:rsidR="00B55F9C">
        <w:rPr>
          <w:rFonts w:ascii="Aptos" w:hAnsi="Aptos" w:cs="Calibri"/>
          <w:sz w:val="22"/>
          <w:szCs w:val="22"/>
        </w:rPr>
        <w:t xml:space="preserve"> za zaposlene uslijed povećanja osnovice za obračun plaća, koeficijenata složenosti radnog mjesta i većih materijalnih prava zaposlenika, zatim </w:t>
      </w:r>
      <w:r w:rsidR="00F15C12">
        <w:rPr>
          <w:rFonts w:ascii="Aptos" w:hAnsi="Aptos" w:cs="Calibri"/>
          <w:sz w:val="22"/>
          <w:szCs w:val="22"/>
        </w:rPr>
        <w:t>veće obveze</w:t>
      </w:r>
      <w:r w:rsidR="00951562">
        <w:rPr>
          <w:rFonts w:ascii="Aptos" w:hAnsi="Aptos" w:cs="Calibri"/>
          <w:sz w:val="22"/>
          <w:szCs w:val="22"/>
        </w:rPr>
        <w:t xml:space="preserve"> za materijalne rashode uslijed većih cijena </w:t>
      </w:r>
      <w:r w:rsidR="00951562" w:rsidRPr="00F61B8D">
        <w:rPr>
          <w:rFonts w:ascii="Aptos" w:hAnsi="Aptos" w:cstheme="minorHAnsi"/>
          <w:sz w:val="22"/>
          <w:szCs w:val="22"/>
        </w:rPr>
        <w:t>održavanj</w:t>
      </w:r>
      <w:r w:rsidR="00951562">
        <w:rPr>
          <w:rFonts w:ascii="Aptos" w:hAnsi="Aptos" w:cstheme="minorHAnsi"/>
          <w:sz w:val="22"/>
          <w:szCs w:val="22"/>
        </w:rPr>
        <w:t>a</w:t>
      </w:r>
      <w:r w:rsidR="00951562" w:rsidRPr="00F61B8D">
        <w:rPr>
          <w:rFonts w:ascii="Aptos" w:hAnsi="Aptos" w:cstheme="minorHAnsi"/>
          <w:sz w:val="22"/>
          <w:szCs w:val="22"/>
        </w:rPr>
        <w:t xml:space="preserve"> komunalne infrastrukture - cesta, javnih površina, javne rasvjete i ostalih komunalnih objekata, </w:t>
      </w:r>
      <w:r w:rsidR="00951562">
        <w:rPr>
          <w:rFonts w:ascii="Aptos" w:hAnsi="Aptos" w:cstheme="minorHAnsi"/>
          <w:sz w:val="22"/>
          <w:szCs w:val="22"/>
        </w:rPr>
        <w:t>većih cijena prijevoza gradskog komunalnog društva, uvođenja novog sustava odvoza otpada i osiguravanja dodatnih i nepredviđenih usluga zbrinjavanja i odvoza i sl.</w:t>
      </w:r>
      <w:r w:rsidR="00F15C12">
        <w:rPr>
          <w:rFonts w:ascii="Aptos" w:hAnsi="Aptos" w:cstheme="minorHAnsi"/>
          <w:sz w:val="22"/>
          <w:szCs w:val="22"/>
        </w:rPr>
        <w:t xml:space="preserve">, kao i veće obveze za kapitalne pomoći koje se odnose na </w:t>
      </w:r>
      <w:r w:rsidR="00F15C12" w:rsidRPr="00F15C12">
        <w:rPr>
          <w:rFonts w:ascii="Aptos" w:hAnsi="Aptos" w:cs="Calibri"/>
          <w:sz w:val="22"/>
          <w:szCs w:val="22"/>
        </w:rPr>
        <w:t>iznos otpl</w:t>
      </w:r>
      <w:r w:rsidR="00F15C12">
        <w:rPr>
          <w:rFonts w:ascii="Aptos" w:hAnsi="Aptos" w:cs="Calibri"/>
          <w:sz w:val="22"/>
          <w:szCs w:val="22"/>
        </w:rPr>
        <w:t>a</w:t>
      </w:r>
      <w:r w:rsidR="00F15C12" w:rsidRPr="00F15C12">
        <w:rPr>
          <w:rFonts w:ascii="Aptos" w:hAnsi="Aptos" w:cs="Calibri"/>
          <w:sz w:val="22"/>
          <w:szCs w:val="22"/>
        </w:rPr>
        <w:t>te kredita</w:t>
      </w:r>
      <w:r w:rsidR="00F15C12">
        <w:rPr>
          <w:rFonts w:ascii="Aptos" w:hAnsi="Aptos" w:cs="Calibri"/>
          <w:sz w:val="22"/>
          <w:szCs w:val="22"/>
        </w:rPr>
        <w:t xml:space="preserve"> komunalnom društvu Autotrolej d.o.o. Rijeka</w:t>
      </w:r>
      <w:r w:rsidR="00F15C12" w:rsidRPr="00F15C12">
        <w:rPr>
          <w:rFonts w:ascii="Aptos" w:hAnsi="Aptos" w:cs="Calibri"/>
          <w:sz w:val="22"/>
          <w:szCs w:val="22"/>
        </w:rPr>
        <w:t xml:space="preserve"> za koja nisu postojala dostatna namjenska sredstva</w:t>
      </w:r>
      <w:r w:rsidR="00F15C12">
        <w:rPr>
          <w:rFonts w:ascii="Aptos" w:hAnsi="Aptos" w:cs="Calibri"/>
          <w:sz w:val="22"/>
          <w:szCs w:val="22"/>
        </w:rPr>
        <w:t>.</w:t>
      </w:r>
    </w:p>
    <w:p w14:paraId="07AEFDC9" w14:textId="15081710" w:rsidR="009D1DEC" w:rsidRPr="005A30D2" w:rsidRDefault="009D1DEC" w:rsidP="005A30D2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Bilješka</w:t>
      </w:r>
      <w:r>
        <w:rPr>
          <w:rFonts w:ascii="Aptos" w:hAnsi="Aptos" w:cs="Calibri"/>
          <w:b/>
          <w:bCs/>
          <w:color w:val="000000"/>
          <w:sz w:val="22"/>
          <w:szCs w:val="22"/>
        </w:rPr>
        <w:t xml:space="preserve"> 9</w:t>
      </w: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53FF52B4" w14:textId="044B9C09" w:rsidR="00453E01" w:rsidRPr="00B55F9C" w:rsidRDefault="00453E01" w:rsidP="00453E01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B55F9C">
        <w:rPr>
          <w:rFonts w:ascii="Aptos" w:hAnsi="Aptos" w:cs="Calibri"/>
          <w:sz w:val="22"/>
          <w:szCs w:val="22"/>
        </w:rPr>
        <w:t xml:space="preserve">Nekonsolidirano stanje obveza Grada Bakra iskazano je u iznosu od </w:t>
      </w:r>
      <w:r w:rsidR="00951562" w:rsidRPr="00951562">
        <w:rPr>
          <w:rFonts w:ascii="Aptos" w:hAnsi="Aptos" w:cstheme="minorHAnsi"/>
          <w:sz w:val="22"/>
          <w:szCs w:val="22"/>
        </w:rPr>
        <w:t>1.200.274,61 €</w:t>
      </w:r>
      <w:r w:rsidR="00951562">
        <w:rPr>
          <w:rFonts w:ascii="Aptos" w:hAnsi="Aptos" w:cstheme="minorHAnsi"/>
          <w:sz w:val="22"/>
          <w:szCs w:val="22"/>
        </w:rPr>
        <w:t xml:space="preserve"> </w:t>
      </w:r>
      <w:r w:rsidRPr="00B55F9C">
        <w:rPr>
          <w:rFonts w:ascii="Aptos" w:hAnsi="Aptos" w:cs="Calibri"/>
          <w:sz w:val="22"/>
          <w:szCs w:val="22"/>
        </w:rPr>
        <w:t>i uključuje:</w:t>
      </w:r>
    </w:p>
    <w:p w14:paraId="0514A7B9" w14:textId="4135862C" w:rsidR="00453E01" w:rsidRPr="0095156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951562">
        <w:rPr>
          <w:rFonts w:ascii="Aptos" w:hAnsi="Aptos" w:cs="Calibri"/>
          <w:sz w:val="22"/>
          <w:szCs w:val="22"/>
        </w:rPr>
        <w:t xml:space="preserve">obveze za rashode poslovanja u iznosu od </w:t>
      </w:r>
      <w:r w:rsidR="00951562" w:rsidRPr="00951562">
        <w:rPr>
          <w:rFonts w:ascii="Aptos" w:hAnsi="Aptos" w:cs="Calibri"/>
          <w:sz w:val="22"/>
          <w:szCs w:val="22"/>
        </w:rPr>
        <w:t>683.590,02</w:t>
      </w:r>
      <w:r w:rsidR="00951562">
        <w:rPr>
          <w:rFonts w:ascii="Aptos" w:hAnsi="Aptos" w:cs="Calibri"/>
          <w:sz w:val="22"/>
          <w:szCs w:val="22"/>
        </w:rPr>
        <w:t xml:space="preserve"> €</w:t>
      </w:r>
    </w:p>
    <w:p w14:paraId="04732001" w14:textId="062485C0" w:rsidR="00453E01" w:rsidRPr="0095156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951562">
        <w:rPr>
          <w:rFonts w:ascii="Aptos" w:hAnsi="Aptos" w:cs="Calibri"/>
          <w:sz w:val="22"/>
          <w:szCs w:val="22"/>
        </w:rPr>
        <w:t xml:space="preserve">obveze  za nabavu nefinancijske imovine u iznosu od </w:t>
      </w:r>
      <w:r w:rsidR="00951562" w:rsidRPr="00951562">
        <w:rPr>
          <w:rFonts w:ascii="Aptos" w:hAnsi="Aptos" w:cs="Calibri"/>
          <w:sz w:val="22"/>
          <w:szCs w:val="22"/>
        </w:rPr>
        <w:t>117.401,47</w:t>
      </w:r>
      <w:r w:rsidR="00951562">
        <w:rPr>
          <w:rFonts w:ascii="Aptos" w:hAnsi="Aptos" w:cs="Calibri"/>
          <w:sz w:val="22"/>
          <w:szCs w:val="22"/>
        </w:rPr>
        <w:t xml:space="preserve"> €</w:t>
      </w:r>
    </w:p>
    <w:p w14:paraId="4F9F77E4" w14:textId="234D9804" w:rsidR="00453E01" w:rsidRPr="0095156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951562">
        <w:rPr>
          <w:rFonts w:ascii="Aptos" w:hAnsi="Aptos" w:cs="Calibri"/>
          <w:sz w:val="22"/>
          <w:szCs w:val="22"/>
        </w:rPr>
        <w:t xml:space="preserve">obveze za kredite i zajmove u iznosu od </w:t>
      </w:r>
      <w:r w:rsidR="00951562" w:rsidRPr="00951562">
        <w:rPr>
          <w:rFonts w:ascii="Aptos" w:hAnsi="Aptos" w:cs="Calibri"/>
          <w:sz w:val="22"/>
          <w:szCs w:val="22"/>
        </w:rPr>
        <w:t>390.199,94</w:t>
      </w:r>
      <w:r w:rsidR="00951562">
        <w:rPr>
          <w:rFonts w:ascii="Aptos" w:hAnsi="Aptos" w:cs="Calibri"/>
          <w:sz w:val="22"/>
          <w:szCs w:val="22"/>
        </w:rPr>
        <w:t xml:space="preserve"> €</w:t>
      </w:r>
    </w:p>
    <w:p w14:paraId="33C74224" w14:textId="5168D085" w:rsidR="00453E01" w:rsidRPr="00951562" w:rsidRDefault="00453E01" w:rsidP="00453E01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="Calibri"/>
          <w:sz w:val="22"/>
          <w:szCs w:val="22"/>
        </w:rPr>
      </w:pPr>
      <w:r w:rsidRPr="00951562">
        <w:rPr>
          <w:rFonts w:ascii="Aptos" w:hAnsi="Aptos" w:cs="Calibri"/>
          <w:sz w:val="22"/>
          <w:szCs w:val="22"/>
        </w:rPr>
        <w:t xml:space="preserve">obveze za odgođeno plaćanje rashoda i prihode budućih razdoblja u iznosu od </w:t>
      </w:r>
      <w:r w:rsidR="00951562" w:rsidRPr="00951562">
        <w:rPr>
          <w:rFonts w:ascii="Aptos" w:hAnsi="Aptos" w:cs="Calibri"/>
          <w:sz w:val="22"/>
          <w:szCs w:val="22"/>
        </w:rPr>
        <w:t>9.083,18</w:t>
      </w:r>
      <w:r w:rsidR="00951562">
        <w:rPr>
          <w:rFonts w:ascii="Aptos" w:hAnsi="Aptos" w:cs="Calibri"/>
          <w:sz w:val="22"/>
          <w:szCs w:val="22"/>
        </w:rPr>
        <w:t xml:space="preserve"> €</w:t>
      </w:r>
      <w:r w:rsidRPr="00951562">
        <w:rPr>
          <w:rFonts w:ascii="Aptos" w:hAnsi="Aptos" w:cs="Calibri"/>
          <w:sz w:val="22"/>
          <w:szCs w:val="22"/>
        </w:rPr>
        <w:t xml:space="preserve">.  </w:t>
      </w:r>
    </w:p>
    <w:p w14:paraId="446AF5DF" w14:textId="410A0758" w:rsidR="00951562" w:rsidRDefault="00951562" w:rsidP="00453E01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7E41E8">
        <w:rPr>
          <w:rFonts w:ascii="Aptos" w:hAnsi="Aptos" w:cs="Calibri"/>
          <w:sz w:val="22"/>
          <w:szCs w:val="22"/>
        </w:rPr>
        <w:t xml:space="preserve">U postupku konsolidacije eliminirane su obveze </w:t>
      </w:r>
      <w:r w:rsidR="007E41E8" w:rsidRPr="007E41E8">
        <w:rPr>
          <w:rFonts w:ascii="Aptos" w:hAnsi="Aptos" w:cs="Calibri"/>
          <w:sz w:val="22"/>
          <w:szCs w:val="22"/>
        </w:rPr>
        <w:t>proračuna za naplaćene prihode proračunskih korisnika  u iznosu od 56.</w:t>
      </w:r>
      <w:r w:rsidR="007E41E8">
        <w:rPr>
          <w:rFonts w:ascii="Aptos" w:hAnsi="Aptos" w:cs="Calibri"/>
          <w:sz w:val="22"/>
          <w:szCs w:val="22"/>
        </w:rPr>
        <w:t>347,71</w:t>
      </w:r>
      <w:r w:rsidR="007E41E8" w:rsidRPr="007E41E8">
        <w:rPr>
          <w:rFonts w:ascii="Aptos" w:hAnsi="Aptos" w:cs="Calibri"/>
          <w:sz w:val="22"/>
          <w:szCs w:val="22"/>
        </w:rPr>
        <w:t xml:space="preserve"> €.</w:t>
      </w:r>
    </w:p>
    <w:tbl>
      <w:tblPr>
        <w:tblW w:w="9601" w:type="dxa"/>
        <w:tblInd w:w="-426" w:type="dxa"/>
        <w:tblLook w:val="04A0" w:firstRow="1" w:lastRow="0" w:firstColumn="1" w:lastColumn="0" w:noHBand="0" w:noVBand="1"/>
      </w:tblPr>
      <w:tblGrid>
        <w:gridCol w:w="825"/>
        <w:gridCol w:w="3003"/>
        <w:gridCol w:w="1418"/>
        <w:gridCol w:w="1418"/>
        <w:gridCol w:w="1701"/>
        <w:gridCol w:w="1236"/>
      </w:tblGrid>
      <w:tr w:rsidR="007E41E8" w:rsidRPr="007E41E8" w14:paraId="0FE515BE" w14:textId="77777777" w:rsidTr="005A30D2">
        <w:trPr>
          <w:trHeight w:val="276"/>
        </w:trPr>
        <w:tc>
          <w:tcPr>
            <w:tcW w:w="9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9438" w14:textId="77777777" w:rsidR="007E41E8" w:rsidRPr="007E41E8" w:rsidRDefault="007E41E8" w:rsidP="007E41E8">
            <w:pPr>
              <w:rPr>
                <w:rFonts w:ascii="Aptos" w:hAnsi="Aptos" w:cs="Calibri"/>
                <w:b/>
                <w:bCs/>
                <w:color w:val="FF0000"/>
                <w:sz w:val="18"/>
                <w:szCs w:val="18"/>
              </w:rPr>
            </w:pPr>
            <w:r w:rsidRPr="007E41E8">
              <w:rPr>
                <w:rFonts w:ascii="Aptos" w:hAnsi="Aptos" w:cs="Calibri"/>
                <w:b/>
                <w:bCs/>
                <w:sz w:val="18"/>
                <w:szCs w:val="18"/>
              </w:rPr>
              <w:t>UNUTARGRUPNE TRANSAKCIJE ELIMINIRANE U FINANCIJSKOM IZVJEŠTAJU 2023-12</w:t>
            </w:r>
          </w:p>
        </w:tc>
      </w:tr>
      <w:tr w:rsidR="007E41E8" w:rsidRPr="007E41E8" w14:paraId="78E12957" w14:textId="77777777" w:rsidTr="000817EC">
        <w:trPr>
          <w:trHeight w:val="4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27FD4FD" w14:textId="77777777" w:rsidR="007E41E8" w:rsidRPr="007E41E8" w:rsidRDefault="007E41E8" w:rsidP="007E41E8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1AEC3D" w14:textId="77777777" w:rsidR="007E41E8" w:rsidRPr="007E41E8" w:rsidRDefault="007E41E8" w:rsidP="007E41E8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E5C370" w14:textId="77777777" w:rsidR="007E41E8" w:rsidRPr="007E41E8" w:rsidRDefault="007E41E8" w:rsidP="007E41E8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 BAKAR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879360" w14:textId="77777777" w:rsidR="007E41E8" w:rsidRPr="007E41E8" w:rsidRDefault="007E41E8" w:rsidP="007E41E8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DJEČJI VRTIĆ BAKAR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2DB518" w14:textId="77777777" w:rsidR="007E41E8" w:rsidRPr="007E41E8" w:rsidRDefault="007E41E8" w:rsidP="007E41E8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GRADSKA KNJIŽNICA BAKAR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895726" w14:textId="77777777" w:rsidR="007E41E8" w:rsidRPr="007E41E8" w:rsidRDefault="007E41E8" w:rsidP="007E41E8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0817EC" w:rsidRPr="007E41E8" w14:paraId="2476F25B" w14:textId="77777777" w:rsidTr="000817EC">
        <w:trPr>
          <w:trHeight w:val="73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D4F4" w14:textId="77777777" w:rsidR="007E41E8" w:rsidRPr="007E41E8" w:rsidRDefault="007E41E8" w:rsidP="007E41E8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color w:val="000000"/>
                <w:sz w:val="18"/>
                <w:szCs w:val="18"/>
              </w:rPr>
              <w:t>16721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599A4" w14:textId="77777777" w:rsidR="007E41E8" w:rsidRPr="007E41E8" w:rsidRDefault="007E41E8" w:rsidP="007E41E8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color w:val="000000"/>
                <w:sz w:val="18"/>
                <w:szCs w:val="18"/>
              </w:rPr>
              <w:t>Potraživanja proračunskih korisnika za sredstva uplaćena u nadležni proračun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EBF1" w14:textId="77777777" w:rsidR="007E41E8" w:rsidRPr="007E41E8" w:rsidRDefault="007E41E8" w:rsidP="007E41E8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3B57" w14:textId="77777777" w:rsidR="007E41E8" w:rsidRPr="007E41E8" w:rsidRDefault="007E41E8" w:rsidP="007E41E8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color w:val="000000"/>
                <w:sz w:val="18"/>
                <w:szCs w:val="18"/>
              </w:rPr>
              <w:t>45.304,27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5AAF" w14:textId="77777777" w:rsidR="007E41E8" w:rsidRPr="007E41E8" w:rsidRDefault="007E41E8" w:rsidP="007E41E8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color w:val="000000"/>
                <w:sz w:val="18"/>
                <w:szCs w:val="18"/>
              </w:rPr>
              <w:t>11.043,44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E2DC" w14:textId="77777777" w:rsidR="007E41E8" w:rsidRPr="007E41E8" w:rsidRDefault="007E41E8" w:rsidP="007E41E8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color w:val="000000"/>
                <w:sz w:val="18"/>
                <w:szCs w:val="18"/>
              </w:rPr>
              <w:t>56.347,71</w:t>
            </w:r>
          </w:p>
        </w:tc>
      </w:tr>
      <w:tr w:rsidR="000817EC" w:rsidRPr="007E41E8" w14:paraId="68DA50E2" w14:textId="77777777" w:rsidTr="000817EC">
        <w:trPr>
          <w:trHeight w:val="73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5E23" w14:textId="77777777" w:rsidR="007E41E8" w:rsidRPr="007E41E8" w:rsidRDefault="007E41E8" w:rsidP="007E41E8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color w:val="000000"/>
                <w:sz w:val="18"/>
                <w:szCs w:val="18"/>
              </w:rPr>
              <w:t>23956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4065B" w14:textId="77777777" w:rsidR="007E41E8" w:rsidRPr="007E41E8" w:rsidRDefault="007E41E8" w:rsidP="007E41E8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color w:val="000000"/>
                <w:sz w:val="18"/>
                <w:szCs w:val="18"/>
              </w:rPr>
              <w:t>Obveze proračuna za naplaćene prihode proračunskog korisnika - Gradska knjižnica Bakar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C042" w14:textId="77777777" w:rsidR="007E41E8" w:rsidRPr="007E41E8" w:rsidRDefault="007E41E8" w:rsidP="007E41E8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color w:val="000000"/>
                <w:sz w:val="18"/>
                <w:szCs w:val="18"/>
              </w:rPr>
              <w:t>11.043,44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5D60" w14:textId="77777777" w:rsidR="007E41E8" w:rsidRPr="007E41E8" w:rsidRDefault="007E41E8" w:rsidP="007E41E8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E499" w14:textId="77777777" w:rsidR="007E41E8" w:rsidRPr="007E41E8" w:rsidRDefault="007E41E8" w:rsidP="007E4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8850" w14:textId="77777777" w:rsidR="007E41E8" w:rsidRPr="007E41E8" w:rsidRDefault="007E41E8" w:rsidP="007E41E8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color w:val="000000"/>
                <w:sz w:val="18"/>
                <w:szCs w:val="18"/>
              </w:rPr>
              <w:t>11.043,44</w:t>
            </w:r>
          </w:p>
        </w:tc>
      </w:tr>
      <w:tr w:rsidR="000817EC" w:rsidRPr="007E41E8" w14:paraId="1E72BCFA" w14:textId="77777777" w:rsidTr="000817EC">
        <w:trPr>
          <w:trHeight w:val="732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D68E" w14:textId="77777777" w:rsidR="007E41E8" w:rsidRPr="007E41E8" w:rsidRDefault="007E41E8" w:rsidP="007E41E8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color w:val="000000"/>
                <w:sz w:val="18"/>
                <w:szCs w:val="18"/>
              </w:rPr>
              <w:t>23956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CC102" w14:textId="77777777" w:rsidR="007E41E8" w:rsidRPr="007E41E8" w:rsidRDefault="007E41E8" w:rsidP="007E41E8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color w:val="000000"/>
                <w:sz w:val="18"/>
                <w:szCs w:val="18"/>
              </w:rPr>
              <w:t>Obveze proračuna za naplaćene prihode proračunskog korisnika - Dječji vrtić Bakar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1EC7" w14:textId="77777777" w:rsidR="007E41E8" w:rsidRPr="007E41E8" w:rsidRDefault="007E41E8" w:rsidP="007E41E8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color w:val="000000"/>
                <w:sz w:val="18"/>
                <w:szCs w:val="18"/>
              </w:rPr>
              <w:t>45.304,27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82D9" w14:textId="77777777" w:rsidR="007E41E8" w:rsidRPr="007E41E8" w:rsidRDefault="007E41E8" w:rsidP="007E41E8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8E67" w14:textId="77777777" w:rsidR="007E41E8" w:rsidRPr="007E41E8" w:rsidRDefault="007E41E8" w:rsidP="007E41E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01DF" w14:textId="77777777" w:rsidR="007E41E8" w:rsidRPr="007E41E8" w:rsidRDefault="007E41E8" w:rsidP="007E41E8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color w:val="000000"/>
                <w:sz w:val="18"/>
                <w:szCs w:val="18"/>
              </w:rPr>
              <w:t>45.304,27</w:t>
            </w:r>
          </w:p>
        </w:tc>
      </w:tr>
      <w:tr w:rsidR="007E41E8" w:rsidRPr="007E41E8" w14:paraId="34744087" w14:textId="77777777" w:rsidTr="000817EC">
        <w:trPr>
          <w:trHeight w:val="28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C88B0D" w14:textId="77777777" w:rsidR="007E41E8" w:rsidRPr="007E41E8" w:rsidRDefault="007E41E8" w:rsidP="007E41E8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8B4F75" w14:textId="77777777" w:rsidR="007E41E8" w:rsidRPr="007E41E8" w:rsidRDefault="007E41E8" w:rsidP="007E41E8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RAZLIKA (167-239)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741E42" w14:textId="77777777" w:rsidR="007E41E8" w:rsidRPr="007E41E8" w:rsidRDefault="007E41E8" w:rsidP="007E41E8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-56.347,71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B9B341" w14:textId="77777777" w:rsidR="007E41E8" w:rsidRPr="007E41E8" w:rsidRDefault="007E41E8" w:rsidP="007E41E8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45.304,27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91E7FF4" w14:textId="77777777" w:rsidR="007E41E8" w:rsidRPr="007E41E8" w:rsidRDefault="007E41E8" w:rsidP="007E41E8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11.043,44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1FAE73" w14:textId="77777777" w:rsidR="007E41E8" w:rsidRPr="007E41E8" w:rsidRDefault="007E41E8" w:rsidP="007E41E8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7E41E8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517CB99E" w14:textId="60816B1C" w:rsidR="005A30D2" w:rsidRPr="005A30D2" w:rsidRDefault="005A30D2" w:rsidP="005A30D2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Bilješka</w:t>
      </w:r>
      <w:r>
        <w:rPr>
          <w:rFonts w:ascii="Aptos" w:hAnsi="Aptos" w:cs="Calibri"/>
          <w:b/>
          <w:bCs/>
          <w:color w:val="000000"/>
          <w:sz w:val="22"/>
          <w:szCs w:val="22"/>
        </w:rPr>
        <w:t xml:space="preserve"> 10</w:t>
      </w: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7E413086" w14:textId="72696CB8" w:rsidR="00453E01" w:rsidRDefault="00453E01" w:rsidP="00453E01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DB00C3">
        <w:rPr>
          <w:rFonts w:ascii="Aptos" w:hAnsi="Aptos" w:cs="Calibri"/>
          <w:sz w:val="22"/>
          <w:szCs w:val="22"/>
        </w:rPr>
        <w:t>Obveze proračunskog korisnika Dječjeg vrtića Bakar na dan 31.12.202</w:t>
      </w:r>
      <w:r w:rsidR="00020A0B">
        <w:rPr>
          <w:rFonts w:ascii="Aptos" w:hAnsi="Aptos" w:cs="Calibri"/>
          <w:sz w:val="22"/>
          <w:szCs w:val="22"/>
        </w:rPr>
        <w:t>3</w:t>
      </w:r>
      <w:r w:rsidRPr="00DB00C3">
        <w:rPr>
          <w:rFonts w:ascii="Aptos" w:hAnsi="Aptos" w:cs="Calibri"/>
          <w:sz w:val="22"/>
          <w:szCs w:val="22"/>
        </w:rPr>
        <w:t xml:space="preserve">. godine  iznose </w:t>
      </w:r>
      <w:r w:rsidR="00020A0B">
        <w:rPr>
          <w:rFonts w:ascii="Aptos" w:hAnsi="Aptos" w:cs="Calibri"/>
          <w:sz w:val="22"/>
          <w:szCs w:val="22"/>
        </w:rPr>
        <w:t>95.356,34 €</w:t>
      </w:r>
      <w:r w:rsidRPr="00DB00C3">
        <w:rPr>
          <w:rFonts w:ascii="Aptos" w:hAnsi="Aptos" w:cs="Calibri"/>
          <w:sz w:val="22"/>
          <w:szCs w:val="22"/>
        </w:rPr>
        <w:t xml:space="preserve"> kn i uključuju: obveze za zaposlene u iznosu od </w:t>
      </w:r>
      <w:r w:rsidR="00020A0B">
        <w:rPr>
          <w:rFonts w:ascii="Aptos" w:hAnsi="Aptos" w:cs="Calibri"/>
          <w:sz w:val="22"/>
          <w:szCs w:val="22"/>
        </w:rPr>
        <w:t>63.833,06 €</w:t>
      </w:r>
      <w:r w:rsidRPr="00DB00C3">
        <w:rPr>
          <w:rFonts w:ascii="Aptos" w:hAnsi="Aptos" w:cs="Calibri"/>
          <w:sz w:val="22"/>
          <w:szCs w:val="22"/>
        </w:rPr>
        <w:t xml:space="preserve">, obveze  za materijalne rashode u iznosu od </w:t>
      </w:r>
      <w:r w:rsidR="00020A0B">
        <w:rPr>
          <w:rFonts w:ascii="Aptos" w:hAnsi="Aptos" w:cs="Calibri"/>
          <w:sz w:val="22"/>
          <w:szCs w:val="22"/>
        </w:rPr>
        <w:t>12.111,60 €</w:t>
      </w:r>
      <w:r w:rsidRPr="00DB00C3">
        <w:rPr>
          <w:rFonts w:ascii="Aptos" w:hAnsi="Aptos" w:cs="Calibri"/>
          <w:sz w:val="22"/>
          <w:szCs w:val="22"/>
        </w:rPr>
        <w:t xml:space="preserve"> te ostale tekuće obveze u iznosu od </w:t>
      </w:r>
      <w:r w:rsidR="00020A0B">
        <w:rPr>
          <w:rFonts w:ascii="Aptos" w:hAnsi="Aptos" w:cs="Calibri"/>
          <w:sz w:val="22"/>
          <w:szCs w:val="22"/>
        </w:rPr>
        <w:t>19.411,68 €</w:t>
      </w:r>
      <w:r w:rsidRPr="00DB00C3">
        <w:rPr>
          <w:rFonts w:ascii="Aptos" w:hAnsi="Aptos" w:cs="Calibri"/>
          <w:sz w:val="22"/>
          <w:szCs w:val="22"/>
        </w:rPr>
        <w:t>.</w:t>
      </w:r>
    </w:p>
    <w:p w14:paraId="21EFC935" w14:textId="456415A2" w:rsidR="005A30D2" w:rsidRPr="005A30D2" w:rsidRDefault="005A30D2" w:rsidP="005A30D2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Bilješka</w:t>
      </w:r>
      <w:r>
        <w:rPr>
          <w:rFonts w:ascii="Aptos" w:hAnsi="Aptos" w:cs="Calibri"/>
          <w:b/>
          <w:bCs/>
          <w:color w:val="000000"/>
          <w:sz w:val="22"/>
          <w:szCs w:val="22"/>
        </w:rPr>
        <w:t xml:space="preserve"> 11</w:t>
      </w: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0D83B0FB" w14:textId="5C99EB8A" w:rsidR="00453E01" w:rsidRDefault="00453E01" w:rsidP="003256A9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DB00C3">
        <w:rPr>
          <w:rFonts w:ascii="Aptos" w:hAnsi="Aptos" w:cs="Calibri"/>
          <w:sz w:val="22"/>
          <w:szCs w:val="22"/>
        </w:rPr>
        <w:t>Obveze proračunskog korisnika Gradske knjižnica Bakar na dan 31.12.202</w:t>
      </w:r>
      <w:r w:rsidR="00020A0B">
        <w:rPr>
          <w:rFonts w:ascii="Aptos" w:hAnsi="Aptos" w:cs="Calibri"/>
          <w:sz w:val="22"/>
          <w:szCs w:val="22"/>
        </w:rPr>
        <w:t>3</w:t>
      </w:r>
      <w:r w:rsidRPr="00DB00C3">
        <w:rPr>
          <w:rFonts w:ascii="Aptos" w:hAnsi="Aptos" w:cs="Calibri"/>
          <w:sz w:val="22"/>
          <w:szCs w:val="22"/>
        </w:rPr>
        <w:t xml:space="preserve">. godine iznose </w:t>
      </w:r>
      <w:r w:rsidR="00020A0B">
        <w:rPr>
          <w:rFonts w:ascii="Aptos" w:hAnsi="Aptos" w:cs="Calibri"/>
          <w:sz w:val="22"/>
          <w:szCs w:val="22"/>
        </w:rPr>
        <w:t>5.561,88 €</w:t>
      </w:r>
      <w:r w:rsidRPr="00DB00C3">
        <w:rPr>
          <w:rFonts w:ascii="Aptos" w:hAnsi="Aptos" w:cs="Calibri"/>
          <w:sz w:val="22"/>
          <w:szCs w:val="22"/>
        </w:rPr>
        <w:t xml:space="preserve"> i odnose se na obveze za zaposlene od </w:t>
      </w:r>
      <w:r w:rsidR="00020A0B">
        <w:rPr>
          <w:rFonts w:ascii="Aptos" w:hAnsi="Aptos" w:cs="Calibri"/>
          <w:sz w:val="22"/>
          <w:szCs w:val="22"/>
        </w:rPr>
        <w:t xml:space="preserve">4.499,22 €, </w:t>
      </w:r>
      <w:r w:rsidRPr="00DB00C3">
        <w:rPr>
          <w:rFonts w:ascii="Aptos" w:hAnsi="Aptos" w:cs="Calibri"/>
          <w:sz w:val="22"/>
          <w:szCs w:val="22"/>
        </w:rPr>
        <w:t xml:space="preserve">obveze za materijalne rashode od </w:t>
      </w:r>
      <w:r w:rsidR="00020A0B">
        <w:rPr>
          <w:rFonts w:ascii="Aptos" w:hAnsi="Aptos" w:cs="Calibri"/>
          <w:sz w:val="22"/>
          <w:szCs w:val="22"/>
        </w:rPr>
        <w:t>644,67 € i obveze za nabavu nefinancijske imovine od 417,99 €</w:t>
      </w:r>
      <w:r w:rsidRPr="00DB00C3">
        <w:rPr>
          <w:rFonts w:ascii="Aptos" w:hAnsi="Aptos" w:cs="Calibri"/>
          <w:sz w:val="22"/>
          <w:szCs w:val="22"/>
        </w:rPr>
        <w:t>.</w:t>
      </w:r>
    </w:p>
    <w:p w14:paraId="06B85B1C" w14:textId="77777777" w:rsidR="005A30D2" w:rsidRDefault="005A30D2" w:rsidP="003256A9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</w:p>
    <w:p w14:paraId="3C1AF49C" w14:textId="77777777" w:rsidR="005A30D2" w:rsidRPr="003256A9" w:rsidRDefault="005A30D2" w:rsidP="003256A9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</w:p>
    <w:p w14:paraId="10293DAA" w14:textId="1EC9D9EF" w:rsidR="00453E01" w:rsidRPr="003256A9" w:rsidRDefault="00453E01" w:rsidP="00325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60" w:after="60"/>
        <w:ind w:left="-425"/>
        <w:jc w:val="both"/>
        <w:rPr>
          <w:rFonts w:ascii="Aptos" w:hAnsi="Aptos" w:cs="Calibri"/>
          <w:b/>
          <w:color w:val="000000"/>
          <w:sz w:val="22"/>
          <w:szCs w:val="22"/>
        </w:rPr>
      </w:pPr>
      <w:r w:rsidRPr="003256A9">
        <w:rPr>
          <w:rFonts w:ascii="Aptos" w:hAnsi="Aptos" w:cs="Calibri"/>
          <w:b/>
          <w:color w:val="000000"/>
          <w:sz w:val="22"/>
          <w:szCs w:val="22"/>
        </w:rPr>
        <w:lastRenderedPageBreak/>
        <w:t xml:space="preserve">ŠIFRA 9  - </w:t>
      </w:r>
      <w:r w:rsidR="003256A9">
        <w:rPr>
          <w:rFonts w:ascii="Aptos" w:hAnsi="Aptos" w:cs="Calibri"/>
          <w:b/>
          <w:color w:val="000000"/>
          <w:sz w:val="22"/>
          <w:szCs w:val="22"/>
        </w:rPr>
        <w:t>VLASTITI IZVORI</w:t>
      </w:r>
    </w:p>
    <w:p w14:paraId="67F92D7B" w14:textId="40DEE193" w:rsidR="003256A9" w:rsidRPr="00B55F9C" w:rsidRDefault="003256A9" w:rsidP="003256A9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5A30D2">
        <w:rPr>
          <w:rFonts w:ascii="Aptos" w:hAnsi="Aptos" w:cs="Calibri"/>
          <w:b/>
          <w:bCs/>
          <w:color w:val="000000"/>
          <w:sz w:val="22"/>
          <w:szCs w:val="22"/>
        </w:rPr>
        <w:t>12</w:t>
      </w: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1A3F58E4" w14:textId="4180885D" w:rsidR="00490005" w:rsidRPr="0065416D" w:rsidRDefault="003256A9" w:rsidP="005A30D2">
      <w:pPr>
        <w:spacing w:before="60" w:after="60"/>
        <w:ind w:left="-425" w:right="-380" w:firstLine="284"/>
        <w:jc w:val="both"/>
        <w:rPr>
          <w:rFonts w:ascii="Aptos" w:hAnsi="Aptos" w:cs="Calibri"/>
          <w:sz w:val="22"/>
          <w:szCs w:val="22"/>
        </w:rPr>
      </w:pPr>
      <w:r w:rsidRPr="003256A9">
        <w:rPr>
          <w:rFonts w:ascii="Aptos" w:hAnsi="Aptos" w:cs="Calibri"/>
          <w:sz w:val="22"/>
          <w:szCs w:val="22"/>
        </w:rPr>
        <w:t>Stanje vlastitih izvora u konsolidiranom financijskom izvještaju iznosi 153.176.046,88 € ili 13,6% više nego u prošlogodišnjem izvještajnom razdoblju</w:t>
      </w:r>
      <w:r w:rsidR="00FB22BA">
        <w:rPr>
          <w:rFonts w:ascii="Aptos" w:hAnsi="Aptos" w:cs="Calibri"/>
          <w:sz w:val="22"/>
          <w:szCs w:val="22"/>
        </w:rPr>
        <w:t xml:space="preserve">, prvenstveno </w:t>
      </w:r>
      <w:r w:rsidR="000D1556">
        <w:rPr>
          <w:rFonts w:ascii="Aptos" w:hAnsi="Aptos" w:cs="Calibri"/>
          <w:sz w:val="22"/>
          <w:szCs w:val="22"/>
        </w:rPr>
        <w:t xml:space="preserve">radi povećanja izvora </w:t>
      </w:r>
      <w:r w:rsidR="000D1556" w:rsidRPr="000D1556">
        <w:rPr>
          <w:rFonts w:ascii="Aptos" w:hAnsi="Aptos" w:cs="Calibri"/>
          <w:sz w:val="22"/>
          <w:szCs w:val="22"/>
        </w:rPr>
        <w:t>vlasništva iz proračuna za nefinancijsku imovinu</w:t>
      </w:r>
      <w:r w:rsidR="000D1556">
        <w:rPr>
          <w:rFonts w:ascii="Aptos" w:hAnsi="Aptos" w:cs="Calibri"/>
          <w:sz w:val="22"/>
          <w:szCs w:val="22"/>
        </w:rPr>
        <w:t xml:space="preserve"> – šifra 9111 </w:t>
      </w:r>
      <w:r w:rsidR="00FB22BA" w:rsidRPr="0065416D">
        <w:rPr>
          <w:rFonts w:ascii="Aptos" w:hAnsi="Aptos" w:cs="Calibri"/>
          <w:sz w:val="22"/>
          <w:szCs w:val="22"/>
        </w:rPr>
        <w:t>uslijed usklađenja i uknjiženja zemljišta prema Registru nekretnina Grada Bakra te evidentiranja građevinskog zemljišta na platou bivše koksare koje je  Republika Hrvatsko darovala Gradu Bakru</w:t>
      </w:r>
      <w:r w:rsidR="000D1556">
        <w:rPr>
          <w:rFonts w:ascii="Aptos" w:hAnsi="Aptos" w:cs="Calibri"/>
          <w:sz w:val="22"/>
          <w:szCs w:val="22"/>
        </w:rPr>
        <w:t>.</w:t>
      </w:r>
    </w:p>
    <w:p w14:paraId="09A47E27" w14:textId="2B5F47AE" w:rsidR="000D1556" w:rsidRPr="00B55F9C" w:rsidRDefault="000D1556" w:rsidP="000D1556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5A30D2">
        <w:rPr>
          <w:rFonts w:ascii="Aptos" w:hAnsi="Aptos" w:cs="Calibri"/>
          <w:b/>
          <w:bCs/>
          <w:color w:val="000000"/>
          <w:sz w:val="22"/>
          <w:szCs w:val="22"/>
        </w:rPr>
        <w:t>13</w:t>
      </w:r>
      <w:r w:rsidRPr="00B55F9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1470D7B6" w14:textId="58B77BD9" w:rsidR="000D1556" w:rsidRPr="00F4597C" w:rsidRDefault="000D1556" w:rsidP="000D155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F4597C">
        <w:rPr>
          <w:rFonts w:ascii="Aptos" w:hAnsi="Aptos" w:cstheme="minorHAnsi"/>
          <w:sz w:val="22"/>
          <w:szCs w:val="22"/>
        </w:rPr>
        <w:t>U ovom izvještajnom razdoblju ostvaren je ukupni konsolidirani višak prihoda i primitaka</w:t>
      </w:r>
      <w:r w:rsidR="0038588C">
        <w:rPr>
          <w:rFonts w:ascii="Aptos" w:hAnsi="Aptos" w:cstheme="minorHAnsi"/>
          <w:sz w:val="22"/>
          <w:szCs w:val="22"/>
        </w:rPr>
        <w:t xml:space="preserve"> – šifra 922</w:t>
      </w:r>
      <w:r w:rsidRPr="00F4597C">
        <w:rPr>
          <w:rFonts w:ascii="Aptos" w:hAnsi="Aptos" w:cstheme="minorHAnsi"/>
          <w:sz w:val="22"/>
          <w:szCs w:val="22"/>
        </w:rPr>
        <w:t xml:space="preserve"> raspoloživ u sljedećem razdoblju u iznosu od </w:t>
      </w:r>
      <w:r>
        <w:rPr>
          <w:rFonts w:ascii="Aptos" w:hAnsi="Aptos" w:cstheme="minorHAnsi"/>
          <w:sz w:val="22"/>
          <w:szCs w:val="22"/>
        </w:rPr>
        <w:t>6.319.323,68 €</w:t>
      </w:r>
      <w:r w:rsidRPr="00F4597C">
        <w:rPr>
          <w:rFonts w:ascii="Aptos" w:hAnsi="Aptos" w:cstheme="minorHAnsi"/>
          <w:sz w:val="22"/>
          <w:szCs w:val="22"/>
        </w:rPr>
        <w:t>.</w:t>
      </w: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852"/>
        <w:gridCol w:w="2551"/>
        <w:gridCol w:w="1684"/>
        <w:gridCol w:w="1859"/>
        <w:gridCol w:w="1701"/>
        <w:gridCol w:w="1244"/>
      </w:tblGrid>
      <w:tr w:rsidR="000D1556" w:rsidRPr="00F4597C" w14:paraId="2E122473" w14:textId="77777777" w:rsidTr="006E5BFA">
        <w:trPr>
          <w:trHeight w:val="276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22C1" w14:textId="77777777" w:rsidR="000D1556" w:rsidRPr="00F4597C" w:rsidRDefault="000D1556" w:rsidP="006E5BFA">
            <w:pPr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sz w:val="18"/>
                <w:szCs w:val="18"/>
              </w:rPr>
              <w:t>STRUKTURA VIŠKA/MANJKA IZ KONSOLIDACIJE FINANCIJSKOG IZVJEŠTAJA 2023-12</w:t>
            </w:r>
          </w:p>
        </w:tc>
      </w:tr>
      <w:tr w:rsidR="000D1556" w:rsidRPr="00F4597C" w14:paraId="4D3EE9A5" w14:textId="77777777" w:rsidTr="006E5BFA">
        <w:trPr>
          <w:trHeight w:val="552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0D1D8E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3398E4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7D4787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 BAKAR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E2E0B0A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DJEČJI VRTIĆ BAKAR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6A685B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GRADSKA KNJIŽNICA BAKAR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325049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0D1556" w:rsidRPr="00F4597C" w14:paraId="4BE0867E" w14:textId="77777777" w:rsidTr="006E5BFA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32B7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92211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44CCD" w14:textId="77777777" w:rsidR="000D1556" w:rsidRPr="00F4597C" w:rsidRDefault="000D1556" w:rsidP="006E5BFA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Višak prihoda poslovanja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48C3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7.738.105,72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429F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10.864,82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A92E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24.686,02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EDE6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7.773.656,56</w:t>
            </w:r>
          </w:p>
        </w:tc>
      </w:tr>
      <w:tr w:rsidR="000D1556" w:rsidRPr="00F4597C" w14:paraId="3FE7F7A2" w14:textId="77777777" w:rsidTr="006E5BFA">
        <w:trPr>
          <w:trHeight w:val="552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7CF1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92212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A1C56" w14:textId="77777777" w:rsidR="000D1556" w:rsidRPr="00F4597C" w:rsidRDefault="000D1556" w:rsidP="006E5BFA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Višak prihoda od nefinancijske imovine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19F0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C80F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9FF1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DF1C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</w:tr>
      <w:tr w:rsidR="000D1556" w:rsidRPr="00F4597C" w14:paraId="08A5B1CC" w14:textId="77777777" w:rsidTr="006E5BFA">
        <w:trPr>
          <w:trHeight w:val="552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E01D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92213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99659" w14:textId="77777777" w:rsidR="000D1556" w:rsidRPr="00F4597C" w:rsidRDefault="000D1556" w:rsidP="006E5BFA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Višak primitaka od financijske imovine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97B1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4673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B239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05B5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</w:tr>
      <w:tr w:rsidR="000D1556" w:rsidRPr="00F4597C" w14:paraId="4FCA1E54" w14:textId="77777777" w:rsidTr="006E5BFA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A285B2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9221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EFEC69" w14:textId="77777777" w:rsidR="000D1556" w:rsidRPr="00F4597C" w:rsidRDefault="000D1556" w:rsidP="006E5BFA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 VIŠAK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F4D3D74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sz w:val="18"/>
                <w:szCs w:val="18"/>
              </w:rPr>
              <w:t>7.738.105,72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13B65A8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sz w:val="18"/>
                <w:szCs w:val="18"/>
              </w:rPr>
              <w:t>10.864,82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B7A1B1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sz w:val="18"/>
                <w:szCs w:val="18"/>
              </w:rPr>
              <w:t>24.686,02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5C2DDF6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sz w:val="18"/>
                <w:szCs w:val="18"/>
              </w:rPr>
              <w:t>7.773.656,56</w:t>
            </w:r>
          </w:p>
        </w:tc>
      </w:tr>
      <w:tr w:rsidR="000D1556" w:rsidRPr="00F4597C" w14:paraId="1E579217" w14:textId="77777777" w:rsidTr="006E5BFA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4F04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92221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5FF67" w14:textId="77777777" w:rsidR="000D1556" w:rsidRPr="00F4597C" w:rsidRDefault="000D1556" w:rsidP="006E5BFA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Manjak prihoda poslovanja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0009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4F96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D9C6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682E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</w:tr>
      <w:tr w:rsidR="000D1556" w:rsidRPr="00F4597C" w14:paraId="57A96027" w14:textId="77777777" w:rsidTr="006E5BFA">
        <w:trPr>
          <w:trHeight w:val="552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4D0E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92222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4DD9D" w14:textId="77777777" w:rsidR="000D1556" w:rsidRPr="00F4597C" w:rsidRDefault="000D1556" w:rsidP="006E5BFA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Manjak prihoda od nefinancijske imovine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AD79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4.103.301,50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C1D6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11.655,25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2881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25.779,40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96C8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4.140.736,15</w:t>
            </w:r>
          </w:p>
        </w:tc>
      </w:tr>
      <w:tr w:rsidR="000D1556" w:rsidRPr="00F4597C" w14:paraId="28FA05B3" w14:textId="77777777" w:rsidTr="006E5BFA">
        <w:trPr>
          <w:trHeight w:val="552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AEC8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92223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FF6BD" w14:textId="77777777" w:rsidR="000D1556" w:rsidRPr="00F4597C" w:rsidRDefault="000D1556" w:rsidP="006E5BFA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Manjak primitaka od financijske imovine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8075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191.119,99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F380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5E06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F501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191.119,99</w:t>
            </w:r>
          </w:p>
        </w:tc>
      </w:tr>
      <w:tr w:rsidR="000D1556" w:rsidRPr="00F4597C" w14:paraId="627DDA0E" w14:textId="77777777" w:rsidTr="006E5BFA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B971CE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9222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74FB424" w14:textId="77777777" w:rsidR="000D1556" w:rsidRPr="00F4597C" w:rsidRDefault="000D1556" w:rsidP="006E5BFA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 MANJAK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BEADC9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sz w:val="18"/>
                <w:szCs w:val="18"/>
              </w:rPr>
              <w:t>4.294.421,49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1DB04A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sz w:val="18"/>
                <w:szCs w:val="18"/>
              </w:rPr>
              <w:t>11.655,25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300F088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sz w:val="18"/>
                <w:szCs w:val="18"/>
              </w:rPr>
              <w:t>25.779,40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186F98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sz w:val="18"/>
                <w:szCs w:val="18"/>
              </w:rPr>
              <w:t>4.331.856,14</w:t>
            </w:r>
          </w:p>
        </w:tc>
      </w:tr>
      <w:tr w:rsidR="000D1556" w:rsidRPr="00F4597C" w14:paraId="7CD66F51" w14:textId="77777777" w:rsidTr="006E5BFA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4200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7B798" w14:textId="77777777" w:rsidR="000D1556" w:rsidRPr="00F4597C" w:rsidRDefault="000D1556" w:rsidP="006E5BFA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RAZLIKA VIŠAK/MANJAK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0189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3.443.684,23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AAE7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-790,43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3A5C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-1.093,38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981E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3.441.800,42</w:t>
            </w:r>
          </w:p>
        </w:tc>
      </w:tr>
      <w:tr w:rsidR="000D1556" w:rsidRPr="00F4597C" w14:paraId="2C6527AC" w14:textId="77777777" w:rsidTr="006E5BFA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6E03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E3F08" w14:textId="77777777" w:rsidR="000D1556" w:rsidRPr="00F4597C" w:rsidRDefault="000D1556" w:rsidP="006E5BFA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Preneseni višak/manjak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FCDB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2.911.972,51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4D6E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-41.079,18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2FB5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6.629,93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F5D2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F4597C">
              <w:rPr>
                <w:rFonts w:ascii="Aptos" w:hAnsi="Aptos" w:cs="Calibri"/>
                <w:sz w:val="18"/>
                <w:szCs w:val="18"/>
              </w:rPr>
              <w:t>2.877.523,26</w:t>
            </w:r>
          </w:p>
        </w:tc>
      </w:tr>
      <w:tr w:rsidR="000D1556" w:rsidRPr="00F4597C" w14:paraId="7B29D09A" w14:textId="77777777" w:rsidTr="006E5BFA">
        <w:trPr>
          <w:trHeight w:val="552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AFB5AB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D94633" w14:textId="77777777" w:rsidR="000D1556" w:rsidRPr="00F4597C" w:rsidRDefault="000D1556" w:rsidP="006E5BFA">
            <w:pPr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sz w:val="18"/>
                <w:szCs w:val="18"/>
              </w:rPr>
              <w:t>VIŠAK/MANJAK RASPOLOŽIV U IDUĆEM RAZDOBLJU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66EDA3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sz w:val="18"/>
                <w:szCs w:val="18"/>
              </w:rPr>
              <w:t>6.355.656,74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B781A0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sz w:val="18"/>
                <w:szCs w:val="18"/>
              </w:rPr>
              <w:t>-41.869,61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F490E5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sz w:val="18"/>
                <w:szCs w:val="18"/>
              </w:rPr>
              <w:t>5.536,55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677CC0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sz w:val="18"/>
                <w:szCs w:val="18"/>
              </w:rPr>
              <w:t>6.319.323,68</w:t>
            </w:r>
          </w:p>
        </w:tc>
      </w:tr>
    </w:tbl>
    <w:p w14:paraId="0E3491B8" w14:textId="77777777" w:rsidR="000D1556" w:rsidRDefault="000D1556" w:rsidP="000D1556">
      <w:pPr>
        <w:spacing w:before="60" w:after="60"/>
        <w:ind w:left="-426" w:right="-380" w:firstLine="284"/>
        <w:jc w:val="both"/>
        <w:rPr>
          <w:rFonts w:ascii="Calibri" w:hAnsi="Calibri" w:cs="Calibri"/>
          <w:color w:val="FF0000"/>
          <w:sz w:val="22"/>
          <w:szCs w:val="22"/>
        </w:rPr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852"/>
        <w:gridCol w:w="2551"/>
        <w:gridCol w:w="1689"/>
        <w:gridCol w:w="1713"/>
        <w:gridCol w:w="1701"/>
        <w:gridCol w:w="1412"/>
        <w:gridCol w:w="6"/>
      </w:tblGrid>
      <w:tr w:rsidR="000D1556" w:rsidRPr="00F4597C" w14:paraId="190C9B7B" w14:textId="77777777" w:rsidTr="006E5BFA">
        <w:trPr>
          <w:gridAfter w:val="1"/>
          <w:wAfter w:w="6" w:type="dxa"/>
          <w:trHeight w:val="276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F75E" w14:textId="77777777" w:rsidR="000D1556" w:rsidRPr="00F4597C" w:rsidRDefault="000D1556" w:rsidP="006E5BFA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 xml:space="preserve">STRUKTURA </w:t>
            </w: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RASPOLOŽIV</w:t>
            </w:r>
            <w: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IH</w:t>
            </w: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 xml:space="preserve"> SREDST</w:t>
            </w:r>
            <w: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A</w:t>
            </w: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VA IZ PRETHODNIH GODINA</w:t>
            </w:r>
          </w:p>
        </w:tc>
      </w:tr>
      <w:tr w:rsidR="000D1556" w:rsidRPr="00F4597C" w14:paraId="22917414" w14:textId="77777777" w:rsidTr="006E5BFA">
        <w:trPr>
          <w:trHeight w:val="552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3B5785B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RAČUN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D6F727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D46091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 BAKAR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898CDD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DJEČJI VRTIĆ BAKAR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EDF398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GRADSKA KNJIŽNICA BAKAR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A6EAFB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0D1556" w:rsidRPr="00F4597C" w14:paraId="332D5FF9" w14:textId="77777777" w:rsidTr="006E5BFA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F563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9221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B3CD" w14:textId="77777777" w:rsidR="000D1556" w:rsidRPr="00F4597C" w:rsidRDefault="000D1556" w:rsidP="006E5BFA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Višak prihoda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9B55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2.911.972,51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003E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2.261,89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27BC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6.629,93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2FA4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2.920.864,33</w:t>
            </w:r>
          </w:p>
        </w:tc>
      </w:tr>
      <w:tr w:rsidR="000D1556" w:rsidRPr="00F4597C" w14:paraId="7D958FAE" w14:textId="77777777" w:rsidTr="006E5BFA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B28A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9222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453A" w14:textId="77777777" w:rsidR="000D1556" w:rsidRPr="00F4597C" w:rsidRDefault="000D1556" w:rsidP="006E5BFA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Manjak prihoda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ADE5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EC5A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-43.341,07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2172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E9B4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color w:val="000000"/>
                <w:sz w:val="18"/>
                <w:szCs w:val="18"/>
              </w:rPr>
              <w:t>-43.341,07</w:t>
            </w:r>
          </w:p>
        </w:tc>
      </w:tr>
      <w:tr w:rsidR="000D1556" w:rsidRPr="00F4597C" w14:paraId="5E918C0C" w14:textId="77777777" w:rsidTr="006E5BFA">
        <w:trPr>
          <w:trHeight w:val="552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B5F8A0" w14:textId="77777777" w:rsidR="000D1556" w:rsidRPr="00F4597C" w:rsidRDefault="000D1556" w:rsidP="006E5BFA">
            <w:pPr>
              <w:jc w:val="center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0FFA0C" w14:textId="77777777" w:rsidR="000D1556" w:rsidRPr="00F4597C" w:rsidRDefault="000D1556" w:rsidP="006E5BFA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 RASPOLOŽIVA SREDSTVA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4F89C29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2.911.972,51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8BD034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-41.079,18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BEFF62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6.629,93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5817B0" w14:textId="77777777" w:rsidR="000D1556" w:rsidRPr="00F4597C" w:rsidRDefault="000D1556" w:rsidP="006E5BFA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F4597C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2.877.523,26</w:t>
            </w:r>
          </w:p>
        </w:tc>
      </w:tr>
    </w:tbl>
    <w:p w14:paraId="10B68712" w14:textId="4FCBFF67" w:rsidR="000D1556" w:rsidRPr="00F4597C" w:rsidRDefault="000D1556" w:rsidP="000D1556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4597C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5A30D2">
        <w:rPr>
          <w:rFonts w:ascii="Aptos" w:hAnsi="Aptos" w:cs="Calibri"/>
          <w:b/>
          <w:bCs/>
          <w:color w:val="000000"/>
          <w:sz w:val="22"/>
          <w:szCs w:val="22"/>
        </w:rPr>
        <w:t>14</w:t>
      </w:r>
      <w:r w:rsidRPr="00F4597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56887CB" w14:textId="77777777" w:rsidR="000D1556" w:rsidRPr="00F4597C" w:rsidRDefault="000D1556" w:rsidP="000D155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U razdoblju od 01. siječnja do 31. prosinca 2023. godine </w:t>
      </w:r>
      <w:r w:rsidRPr="00F4597C">
        <w:rPr>
          <w:rFonts w:ascii="Aptos" w:hAnsi="Aptos" w:cstheme="minorHAnsi"/>
          <w:sz w:val="22"/>
          <w:szCs w:val="22"/>
        </w:rPr>
        <w:t xml:space="preserve">Grad Bakar </w:t>
      </w:r>
      <w:r>
        <w:rPr>
          <w:rFonts w:ascii="Aptos" w:hAnsi="Aptos" w:cstheme="minorHAnsi"/>
          <w:sz w:val="22"/>
          <w:szCs w:val="22"/>
        </w:rPr>
        <w:t>ostvario je višak</w:t>
      </w:r>
      <w:r w:rsidRPr="00F4597C">
        <w:rPr>
          <w:rFonts w:ascii="Aptos" w:hAnsi="Aptos" w:cstheme="minorHAnsi"/>
          <w:sz w:val="22"/>
          <w:szCs w:val="22"/>
        </w:rPr>
        <w:t xml:space="preserve"> prihoda i primitaka nad rashodima i izdacima u iznosu od </w:t>
      </w:r>
      <w:r>
        <w:rPr>
          <w:rFonts w:ascii="Aptos" w:hAnsi="Aptos" w:cstheme="minorHAnsi"/>
          <w:sz w:val="22"/>
          <w:szCs w:val="22"/>
        </w:rPr>
        <w:t>3.443.684,23 €</w:t>
      </w:r>
      <w:r w:rsidRPr="00F4597C">
        <w:rPr>
          <w:rFonts w:ascii="Aptos" w:hAnsi="Aptos" w:cstheme="minorHAnsi"/>
          <w:sz w:val="22"/>
          <w:szCs w:val="22"/>
        </w:rPr>
        <w:t xml:space="preserve">. Uzimajući u obzir preneseni višak prihoda i primitaka u iznosu od </w:t>
      </w:r>
      <w:r>
        <w:rPr>
          <w:rFonts w:ascii="Aptos" w:hAnsi="Aptos" w:cstheme="minorHAnsi"/>
          <w:sz w:val="22"/>
          <w:szCs w:val="22"/>
        </w:rPr>
        <w:t>2,911,972,51 €</w:t>
      </w:r>
      <w:r w:rsidRPr="00F4597C">
        <w:rPr>
          <w:rFonts w:ascii="Aptos" w:hAnsi="Aptos" w:cstheme="minorHAnsi"/>
          <w:sz w:val="22"/>
          <w:szCs w:val="22"/>
        </w:rPr>
        <w:t xml:space="preserve">, ukupni višak prihoda i primitaka  raspoloživ u slijedećem razdoblju iznosi </w:t>
      </w:r>
      <w:r>
        <w:rPr>
          <w:rFonts w:ascii="Aptos" w:hAnsi="Aptos" w:cstheme="minorHAnsi"/>
          <w:sz w:val="22"/>
          <w:szCs w:val="22"/>
        </w:rPr>
        <w:t>6.355.656,74 €</w:t>
      </w:r>
      <w:r w:rsidRPr="00F4597C">
        <w:rPr>
          <w:rFonts w:ascii="Aptos" w:hAnsi="Aptos" w:cstheme="minorHAnsi"/>
          <w:sz w:val="22"/>
          <w:szCs w:val="22"/>
        </w:rPr>
        <w:t xml:space="preserve">. </w:t>
      </w:r>
    </w:p>
    <w:p w14:paraId="562E50CF" w14:textId="77777777" w:rsidR="000D1556" w:rsidRPr="00F4597C" w:rsidRDefault="000D1556" w:rsidP="000D155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F4597C">
        <w:rPr>
          <w:rFonts w:ascii="Aptos" w:hAnsi="Aptos" w:cstheme="minorHAnsi"/>
          <w:sz w:val="22"/>
          <w:szCs w:val="22"/>
        </w:rPr>
        <w:t xml:space="preserve">Dječji vrtić Bakar je ostvario manjak prihoda i primitaka u iznosu od </w:t>
      </w:r>
      <w:r>
        <w:rPr>
          <w:rFonts w:ascii="Aptos" w:hAnsi="Aptos" w:cstheme="minorHAnsi"/>
          <w:sz w:val="22"/>
          <w:szCs w:val="22"/>
        </w:rPr>
        <w:t>790,43 €</w:t>
      </w:r>
      <w:r w:rsidRPr="00F4597C">
        <w:rPr>
          <w:rFonts w:ascii="Aptos" w:hAnsi="Aptos" w:cstheme="minorHAnsi"/>
          <w:sz w:val="22"/>
          <w:szCs w:val="22"/>
        </w:rPr>
        <w:t xml:space="preserve">, pa s prenesenim manjkom prihoda iz prethodnih godina u iznosu od </w:t>
      </w:r>
      <w:r>
        <w:rPr>
          <w:rFonts w:ascii="Aptos" w:hAnsi="Aptos" w:cstheme="minorHAnsi"/>
          <w:sz w:val="22"/>
          <w:szCs w:val="22"/>
        </w:rPr>
        <w:t>41.079,18 €</w:t>
      </w:r>
      <w:r w:rsidRPr="00F4597C">
        <w:rPr>
          <w:rFonts w:ascii="Aptos" w:hAnsi="Aptos" w:cstheme="minorHAnsi"/>
          <w:sz w:val="22"/>
          <w:szCs w:val="22"/>
        </w:rPr>
        <w:t xml:space="preserve"> ukupni manjak prihoda i primitaka na kraju obračunskog razdoblja iznosi </w:t>
      </w:r>
      <w:r>
        <w:rPr>
          <w:rFonts w:ascii="Aptos" w:hAnsi="Aptos" w:cstheme="minorHAnsi"/>
          <w:sz w:val="22"/>
          <w:szCs w:val="22"/>
        </w:rPr>
        <w:t>41.869,61 €</w:t>
      </w:r>
      <w:r w:rsidRPr="00F4597C">
        <w:rPr>
          <w:rFonts w:ascii="Aptos" w:hAnsi="Aptos" w:cstheme="minorHAnsi"/>
          <w:sz w:val="22"/>
          <w:szCs w:val="22"/>
        </w:rPr>
        <w:t>.</w:t>
      </w:r>
    </w:p>
    <w:p w14:paraId="216CDA23" w14:textId="04CB462C" w:rsidR="003256A9" w:rsidRPr="0038588C" w:rsidRDefault="000D1556" w:rsidP="0038588C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F4597C">
        <w:rPr>
          <w:rFonts w:ascii="Aptos" w:hAnsi="Aptos" w:cstheme="minorHAnsi"/>
          <w:sz w:val="22"/>
          <w:szCs w:val="22"/>
        </w:rPr>
        <w:lastRenderedPageBreak/>
        <w:t xml:space="preserve">Gradska knjižnica Bakar je ostvarila </w:t>
      </w:r>
      <w:r>
        <w:rPr>
          <w:rFonts w:ascii="Aptos" w:hAnsi="Aptos" w:cstheme="minorHAnsi"/>
          <w:sz w:val="22"/>
          <w:szCs w:val="22"/>
        </w:rPr>
        <w:t>manjak</w:t>
      </w:r>
      <w:r w:rsidRPr="00F4597C">
        <w:rPr>
          <w:rFonts w:ascii="Aptos" w:hAnsi="Aptos" w:cstheme="minorHAnsi"/>
          <w:sz w:val="22"/>
          <w:szCs w:val="22"/>
        </w:rPr>
        <w:t xml:space="preserve"> prihoda i primitaka u iznosu od </w:t>
      </w:r>
      <w:r>
        <w:rPr>
          <w:rFonts w:ascii="Aptos" w:hAnsi="Aptos" w:cstheme="minorHAnsi"/>
          <w:sz w:val="22"/>
          <w:szCs w:val="22"/>
        </w:rPr>
        <w:t>1.093,38 €</w:t>
      </w:r>
      <w:r w:rsidRPr="00F4597C">
        <w:rPr>
          <w:rFonts w:ascii="Aptos" w:hAnsi="Aptos" w:cstheme="minorHAnsi"/>
          <w:sz w:val="22"/>
          <w:szCs w:val="22"/>
        </w:rPr>
        <w:t xml:space="preserve">, pa s prenesenim viškom prihoda iz prethodnih godina u iznosu od </w:t>
      </w:r>
      <w:r>
        <w:rPr>
          <w:rFonts w:ascii="Aptos" w:hAnsi="Aptos" w:cstheme="minorHAnsi"/>
          <w:sz w:val="22"/>
          <w:szCs w:val="22"/>
        </w:rPr>
        <w:t>6.629,93 €</w:t>
      </w:r>
      <w:r w:rsidRPr="00F4597C">
        <w:rPr>
          <w:rFonts w:ascii="Aptos" w:hAnsi="Aptos" w:cstheme="minorHAnsi"/>
          <w:sz w:val="22"/>
          <w:szCs w:val="22"/>
        </w:rPr>
        <w:t xml:space="preserve">, ukupni višak prihoda </w:t>
      </w:r>
      <w:r>
        <w:rPr>
          <w:rFonts w:ascii="Aptos" w:hAnsi="Aptos" w:cstheme="minorHAnsi"/>
          <w:sz w:val="22"/>
          <w:szCs w:val="22"/>
        </w:rPr>
        <w:t>raspoloživ u idućem razdoblju</w:t>
      </w:r>
      <w:r w:rsidRPr="00F4597C">
        <w:rPr>
          <w:rFonts w:ascii="Aptos" w:hAnsi="Aptos" w:cstheme="minorHAnsi"/>
          <w:sz w:val="22"/>
          <w:szCs w:val="22"/>
        </w:rPr>
        <w:t xml:space="preserve"> iznosi </w:t>
      </w:r>
      <w:r>
        <w:rPr>
          <w:rFonts w:ascii="Aptos" w:hAnsi="Aptos" w:cstheme="minorHAnsi"/>
          <w:sz w:val="22"/>
          <w:szCs w:val="22"/>
        </w:rPr>
        <w:t>5.536,55 €</w:t>
      </w:r>
      <w:r w:rsidRPr="00F4597C">
        <w:rPr>
          <w:rFonts w:ascii="Aptos" w:hAnsi="Aptos" w:cstheme="minorHAnsi"/>
          <w:sz w:val="22"/>
          <w:szCs w:val="22"/>
        </w:rPr>
        <w:t>.</w:t>
      </w:r>
    </w:p>
    <w:p w14:paraId="192F6A3E" w14:textId="04A3DC71" w:rsidR="00453E01" w:rsidRPr="0038588C" w:rsidRDefault="00453E01" w:rsidP="0038588C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38588C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5A30D2">
        <w:rPr>
          <w:rFonts w:ascii="Aptos" w:hAnsi="Aptos" w:cs="Calibri"/>
          <w:b/>
          <w:bCs/>
          <w:color w:val="000000"/>
          <w:sz w:val="22"/>
          <w:szCs w:val="22"/>
        </w:rPr>
        <w:t>15</w:t>
      </w:r>
      <w:r w:rsidRPr="0038588C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B0B8AF0" w14:textId="2730A04F" w:rsidR="00453E01" w:rsidRPr="0038588C" w:rsidRDefault="0038588C" w:rsidP="00CB59E1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Od </w:t>
      </w:r>
      <w:r w:rsidR="00CB59E1">
        <w:rPr>
          <w:rFonts w:ascii="Aptos" w:hAnsi="Aptos" w:cstheme="minorHAnsi"/>
          <w:sz w:val="22"/>
          <w:szCs w:val="22"/>
        </w:rPr>
        <w:t xml:space="preserve">ukupne </w:t>
      </w:r>
      <w:r>
        <w:rPr>
          <w:rFonts w:ascii="Aptos" w:hAnsi="Aptos" w:cstheme="minorHAnsi"/>
          <w:sz w:val="22"/>
          <w:szCs w:val="22"/>
        </w:rPr>
        <w:t xml:space="preserve">vrijednosti iskazanih </w:t>
      </w:r>
      <w:r w:rsidR="00453E01" w:rsidRPr="0038588C">
        <w:rPr>
          <w:rFonts w:ascii="Aptos" w:hAnsi="Aptos" w:cstheme="minorHAnsi"/>
          <w:sz w:val="22"/>
          <w:szCs w:val="22"/>
        </w:rPr>
        <w:t xml:space="preserve">izvanbilančnih zapisa </w:t>
      </w:r>
      <w:r>
        <w:rPr>
          <w:rFonts w:ascii="Aptos" w:hAnsi="Aptos" w:cstheme="minorHAnsi"/>
          <w:sz w:val="22"/>
          <w:szCs w:val="22"/>
        </w:rPr>
        <w:t xml:space="preserve">– šifra </w:t>
      </w:r>
      <w:r w:rsidR="00CB59E1">
        <w:rPr>
          <w:rFonts w:ascii="Aptos" w:hAnsi="Aptos" w:cstheme="minorHAnsi"/>
          <w:sz w:val="22"/>
          <w:szCs w:val="22"/>
        </w:rPr>
        <w:t xml:space="preserve">991 i 996 na Dječji vrtić Bakar odnosi se </w:t>
      </w:r>
      <w:r w:rsidR="00CB59E1" w:rsidRPr="00CB59E1">
        <w:rPr>
          <w:rFonts w:ascii="Aptos" w:hAnsi="Aptos" w:cstheme="minorHAnsi"/>
          <w:sz w:val="22"/>
          <w:szCs w:val="22"/>
        </w:rPr>
        <w:t>663,61</w:t>
      </w:r>
      <w:r w:rsidR="00CB59E1">
        <w:rPr>
          <w:rFonts w:ascii="Aptos" w:hAnsi="Aptos" w:cstheme="minorHAnsi"/>
          <w:sz w:val="22"/>
          <w:szCs w:val="22"/>
        </w:rPr>
        <w:t xml:space="preserve"> € </w:t>
      </w:r>
      <w:r w:rsidR="00453E01" w:rsidRPr="0038588C">
        <w:rPr>
          <w:rFonts w:ascii="Aptos" w:hAnsi="Aptos" w:cstheme="minorHAnsi"/>
          <w:sz w:val="22"/>
          <w:szCs w:val="22"/>
        </w:rPr>
        <w:t>koja uključuje jamstvo HEP opskrbi d.o.o. Zagreb temeljem ugovora o opskrbi električnom energijom povlaštenog kupca iz 2019. godine.</w:t>
      </w:r>
    </w:p>
    <w:p w14:paraId="14DDFECB" w14:textId="77777777" w:rsidR="00453E01" w:rsidRPr="00CB59E1" w:rsidRDefault="00453E01" w:rsidP="00CB59E1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CB59E1">
        <w:rPr>
          <w:rFonts w:ascii="Aptos" w:hAnsi="Aptos" w:cstheme="minorHAnsi"/>
          <w:sz w:val="22"/>
          <w:szCs w:val="22"/>
        </w:rPr>
        <w:t>Izvanbilančni zapisi se sukladno odredbama Pravilnika o financijskom izvještavanju u proračunskom računovodstvu  iskazuju kao obvezne bilješke uz Bilancu, kako slijedi:</w:t>
      </w:r>
    </w:p>
    <w:p w14:paraId="798A3547" w14:textId="77777777" w:rsidR="0038588C" w:rsidRPr="00F61B8D" w:rsidRDefault="0038588C" w:rsidP="0038588C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bCs/>
          <w:sz w:val="22"/>
          <w:szCs w:val="22"/>
          <w:u w:val="single"/>
        </w:rPr>
        <w:t>1. Popis ugovornih odnosa i slično koji uz ispunjenje određenih uvjeta, mogu postati obveza ili imovina (dana kreditna pisma, hipoteke i slično)</w:t>
      </w:r>
    </w:p>
    <w:tbl>
      <w:tblPr>
        <w:tblW w:w="9634" w:type="dxa"/>
        <w:tblInd w:w="-426" w:type="dxa"/>
        <w:tblLook w:val="04A0" w:firstRow="1" w:lastRow="0" w:firstColumn="1" w:lastColumn="0" w:noHBand="0" w:noVBand="1"/>
      </w:tblPr>
      <w:tblGrid>
        <w:gridCol w:w="842"/>
        <w:gridCol w:w="1973"/>
        <w:gridCol w:w="2434"/>
        <w:gridCol w:w="1275"/>
        <w:gridCol w:w="1557"/>
        <w:gridCol w:w="1553"/>
      </w:tblGrid>
      <w:tr w:rsidR="0038588C" w:rsidRPr="003D3041" w14:paraId="6ED12784" w14:textId="77777777" w:rsidTr="006E5BFA">
        <w:trPr>
          <w:cantSplit/>
          <w:trHeight w:val="23"/>
        </w:trPr>
        <w:tc>
          <w:tcPr>
            <w:tcW w:w="842" w:type="dxa"/>
            <w:shd w:val="clear" w:color="auto" w:fill="F2F2F2" w:themeFill="background1" w:themeFillShade="F2"/>
            <w:vAlign w:val="center"/>
            <w:hideMark/>
          </w:tcPr>
          <w:p w14:paraId="462ADCE7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3D3041">
              <w:rPr>
                <w:rFonts w:ascii="Aptos" w:hAnsi="Aptos" w:cs="Calibri"/>
                <w:b/>
                <w:bCs/>
                <w:sz w:val="18"/>
                <w:szCs w:val="18"/>
              </w:rPr>
              <w:t>RBR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  <w:hideMark/>
          </w:tcPr>
          <w:p w14:paraId="75696A59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3D3041">
              <w:rPr>
                <w:rFonts w:ascii="Aptos" w:hAnsi="Aptos" w:cs="Calibri"/>
                <w:b/>
                <w:bCs/>
                <w:sz w:val="18"/>
                <w:szCs w:val="18"/>
              </w:rPr>
              <w:t xml:space="preserve"> PRIMATELJ JAMSTVA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  <w:hideMark/>
          </w:tcPr>
          <w:p w14:paraId="6821CFC4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3D3041">
              <w:rPr>
                <w:rFonts w:ascii="Aptos" w:hAnsi="Aptos" w:cs="Calibri"/>
                <w:b/>
                <w:bCs/>
                <w:sz w:val="18"/>
                <w:szCs w:val="18"/>
              </w:rPr>
              <w:t>SVRHA JAMSTVA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14:paraId="742C80B8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3D3041">
              <w:rPr>
                <w:rFonts w:ascii="Aptos" w:hAnsi="Aptos" w:cs="Calibri"/>
                <w:b/>
                <w:bCs/>
                <w:sz w:val="18"/>
                <w:szCs w:val="18"/>
              </w:rPr>
              <w:t>DATUM IZDAVANJA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  <w:hideMark/>
          </w:tcPr>
          <w:p w14:paraId="6A530FF9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3D3041">
              <w:rPr>
                <w:rFonts w:ascii="Aptos" w:hAnsi="Aptos" w:cs="Calibri"/>
                <w:b/>
                <w:bCs/>
                <w:sz w:val="18"/>
                <w:szCs w:val="18"/>
              </w:rPr>
              <w:t xml:space="preserve">VRSTA INSTRUMENTA 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  <w:hideMark/>
          </w:tcPr>
          <w:p w14:paraId="0F98AA7D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3D3041">
              <w:rPr>
                <w:rFonts w:ascii="Aptos" w:hAnsi="Aptos" w:cs="Calibri"/>
                <w:b/>
                <w:bCs/>
                <w:sz w:val="18"/>
                <w:szCs w:val="18"/>
              </w:rPr>
              <w:t>IZNOS</w:t>
            </w:r>
          </w:p>
        </w:tc>
      </w:tr>
      <w:tr w:rsidR="0038588C" w:rsidRPr="003D3041" w14:paraId="6D6E108B" w14:textId="77777777" w:rsidTr="006E5BFA">
        <w:trPr>
          <w:cantSplit/>
          <w:trHeight w:val="227"/>
        </w:trPr>
        <w:tc>
          <w:tcPr>
            <w:tcW w:w="842" w:type="dxa"/>
            <w:shd w:val="clear" w:color="auto" w:fill="auto"/>
            <w:vAlign w:val="center"/>
            <w:hideMark/>
          </w:tcPr>
          <w:p w14:paraId="68E5F64D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1.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926D1D8" w14:textId="77777777" w:rsidR="0038588C" w:rsidRPr="003D3041" w:rsidRDefault="0038588C" w:rsidP="006E5BFA">
            <w:pPr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HEP opskrba d.o.o. Zagreb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414D3E8F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Ugovor o opskrbi el. energijom povlaštenog kupca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65CDCA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16.11.2009.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B94900F" w14:textId="77777777" w:rsidR="0038588C" w:rsidRPr="003D3041" w:rsidRDefault="0038588C" w:rsidP="006E5BFA">
            <w:pPr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Bjanko zadužnica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D67427A" w14:textId="77777777" w:rsidR="0038588C" w:rsidRPr="003D3041" w:rsidRDefault="0038588C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13.272,28 €</w:t>
            </w:r>
          </w:p>
        </w:tc>
      </w:tr>
      <w:tr w:rsidR="0038588C" w:rsidRPr="003D3041" w14:paraId="4A11B398" w14:textId="77777777" w:rsidTr="006E5BFA">
        <w:trPr>
          <w:cantSplit/>
          <w:trHeight w:val="227"/>
        </w:trPr>
        <w:tc>
          <w:tcPr>
            <w:tcW w:w="842" w:type="dxa"/>
            <w:shd w:val="clear" w:color="auto" w:fill="auto"/>
            <w:vAlign w:val="center"/>
            <w:hideMark/>
          </w:tcPr>
          <w:p w14:paraId="327D969D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2.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707D117" w14:textId="77777777" w:rsidR="0038588C" w:rsidRPr="003D3041" w:rsidRDefault="0038588C" w:rsidP="006E5BFA">
            <w:pPr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INA d.d. Zagreb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21ED20D8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Ugovor o korištenju kreditne INA kartice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11CEDE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11.06.2013.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4339F0AB" w14:textId="77777777" w:rsidR="0038588C" w:rsidRPr="003D3041" w:rsidRDefault="0038588C" w:rsidP="006E5BFA">
            <w:pPr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Bjanko zadužnica</w:t>
            </w:r>
            <w:r w:rsidRPr="003D3041">
              <w:rPr>
                <w:rFonts w:ascii="Aptos" w:hAnsi="Aptos" w:cs="Calibri"/>
                <w:sz w:val="18"/>
                <w:szCs w:val="18"/>
              </w:rPr>
              <w:br/>
              <w:t>OV-5421/2013 od 11.06.2013.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20D297AE" w14:textId="77777777" w:rsidR="0038588C" w:rsidRPr="003D3041" w:rsidRDefault="0038588C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6.636,14 €</w:t>
            </w:r>
          </w:p>
        </w:tc>
      </w:tr>
      <w:tr w:rsidR="0038588C" w:rsidRPr="003D3041" w14:paraId="79ED1155" w14:textId="77777777" w:rsidTr="006E5BFA">
        <w:trPr>
          <w:cantSplit/>
          <w:trHeight w:val="227"/>
        </w:trPr>
        <w:tc>
          <w:tcPr>
            <w:tcW w:w="842" w:type="dxa"/>
            <w:shd w:val="clear" w:color="auto" w:fill="auto"/>
            <w:vAlign w:val="center"/>
            <w:hideMark/>
          </w:tcPr>
          <w:p w14:paraId="2423AFB4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3.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8184BEF" w14:textId="77777777" w:rsidR="0038588C" w:rsidRPr="003D3041" w:rsidRDefault="0038588C" w:rsidP="006E5BFA">
            <w:pPr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Hrvatska banka za obnovu i razvitak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2725C480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Ugovor o kreditu HBOR-GKD Dobra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F03093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29.08.2017.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0F845B96" w14:textId="77777777" w:rsidR="0038588C" w:rsidRPr="003D3041" w:rsidRDefault="0038588C" w:rsidP="006E5BFA">
            <w:pPr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Jamstvo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63BA376C" w14:textId="77777777" w:rsidR="0038588C" w:rsidRPr="003D3041" w:rsidRDefault="0038588C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189.537,20 €</w:t>
            </w:r>
          </w:p>
        </w:tc>
      </w:tr>
      <w:tr w:rsidR="0038588C" w:rsidRPr="003D3041" w14:paraId="41603256" w14:textId="77777777" w:rsidTr="006E5BFA">
        <w:trPr>
          <w:cantSplit/>
          <w:trHeight w:val="227"/>
        </w:trPr>
        <w:tc>
          <w:tcPr>
            <w:tcW w:w="842" w:type="dxa"/>
            <w:shd w:val="clear" w:color="auto" w:fill="auto"/>
            <w:vAlign w:val="center"/>
            <w:hideMark/>
          </w:tcPr>
          <w:p w14:paraId="16BEE7B0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4.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4CAFD84" w14:textId="77777777" w:rsidR="0038588C" w:rsidRPr="003D3041" w:rsidRDefault="0038588C" w:rsidP="006E5BFA">
            <w:pPr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Hrvatska banka za obnovu i razvitak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6A6C7BBB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Ugovor o kreditu</w:t>
            </w:r>
            <w:r w:rsidRPr="003D3041">
              <w:rPr>
                <w:rFonts w:ascii="Aptos" w:hAnsi="Aptos" w:cs="Calibri"/>
                <w:sz w:val="18"/>
                <w:szCs w:val="18"/>
              </w:rPr>
              <w:br/>
              <w:t>javna rasvjeta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D39969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02.06.2020.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76B1413C" w14:textId="77777777" w:rsidR="0038588C" w:rsidRPr="003D3041" w:rsidRDefault="0038588C" w:rsidP="006E5BFA">
            <w:pPr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Zadužnica OV-2899/2020 od 08.06.2020.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14:paraId="092090D0" w14:textId="77777777" w:rsidR="0038588C" w:rsidRPr="003D3041" w:rsidRDefault="0038588C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769.792,29 €</w:t>
            </w:r>
          </w:p>
        </w:tc>
      </w:tr>
      <w:tr w:rsidR="0038588C" w:rsidRPr="003D3041" w14:paraId="6B09D7EA" w14:textId="77777777" w:rsidTr="006E5BFA">
        <w:trPr>
          <w:cantSplit/>
          <w:trHeight w:val="227"/>
        </w:trPr>
        <w:tc>
          <w:tcPr>
            <w:tcW w:w="842" w:type="dxa"/>
            <w:shd w:val="clear" w:color="auto" w:fill="auto"/>
            <w:vAlign w:val="center"/>
          </w:tcPr>
          <w:p w14:paraId="2277DE9E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5.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BA410EA" w14:textId="77777777" w:rsidR="0038588C" w:rsidRPr="003D3041" w:rsidRDefault="0038588C" w:rsidP="006E5BFA">
            <w:pPr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INA d.d. Kostrena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029BFB8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Korištenje malog spremnika i prodaja UNP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ACC019" w14:textId="77777777" w:rsidR="0038588C" w:rsidRPr="003D3041" w:rsidRDefault="0038588C" w:rsidP="006E5BFA">
            <w:pPr>
              <w:jc w:val="center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20.02.2023.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A525925" w14:textId="77777777" w:rsidR="0038588C" w:rsidRPr="003D3041" w:rsidRDefault="0038588C" w:rsidP="006E5BFA">
            <w:pPr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Bjanko zadužnica</w:t>
            </w:r>
            <w:r w:rsidRPr="003D3041">
              <w:rPr>
                <w:rFonts w:ascii="Aptos" w:hAnsi="Aptos" w:cs="Calibri"/>
                <w:sz w:val="18"/>
                <w:szCs w:val="18"/>
              </w:rPr>
              <w:br/>
              <w:t>OV-988/2023 od 21.02.2023.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432C705" w14:textId="77777777" w:rsidR="0038588C" w:rsidRPr="003D3041" w:rsidRDefault="0038588C" w:rsidP="006E5BFA">
            <w:pPr>
              <w:jc w:val="right"/>
              <w:rPr>
                <w:rFonts w:ascii="Aptos" w:hAnsi="Aptos" w:cs="Calibri"/>
                <w:sz w:val="18"/>
                <w:szCs w:val="18"/>
              </w:rPr>
            </w:pPr>
            <w:r w:rsidRPr="003D3041">
              <w:rPr>
                <w:rFonts w:ascii="Aptos" w:hAnsi="Aptos" w:cs="Calibri"/>
                <w:sz w:val="18"/>
                <w:szCs w:val="18"/>
              </w:rPr>
              <w:t>10.000,00 €</w:t>
            </w:r>
          </w:p>
        </w:tc>
      </w:tr>
      <w:tr w:rsidR="0038588C" w:rsidRPr="003D3041" w14:paraId="4DCCB07C" w14:textId="77777777" w:rsidTr="006E5BFA">
        <w:trPr>
          <w:cantSplit/>
          <w:trHeight w:val="23"/>
        </w:trPr>
        <w:tc>
          <w:tcPr>
            <w:tcW w:w="8081" w:type="dxa"/>
            <w:gridSpan w:val="5"/>
            <w:shd w:val="clear" w:color="auto" w:fill="F2F2F2" w:themeFill="background1" w:themeFillShade="F2"/>
            <w:vAlign w:val="center"/>
            <w:hideMark/>
          </w:tcPr>
          <w:p w14:paraId="73AD28B0" w14:textId="77777777" w:rsidR="0038588C" w:rsidRPr="003D3041" w:rsidRDefault="0038588C" w:rsidP="006E5BFA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3D3041">
              <w:rPr>
                <w:rFonts w:ascii="Aptos" w:hAnsi="Aptos" w:cs="Calibri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  <w:hideMark/>
          </w:tcPr>
          <w:p w14:paraId="54FECB5E" w14:textId="77777777" w:rsidR="0038588C" w:rsidRPr="003D3041" w:rsidRDefault="0038588C" w:rsidP="006E5BFA">
            <w:pPr>
              <w:jc w:val="right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3D3041">
              <w:rPr>
                <w:rFonts w:ascii="Aptos" w:hAnsi="Aptos" w:cs="Calibri"/>
                <w:b/>
                <w:bCs/>
                <w:sz w:val="18"/>
                <w:szCs w:val="18"/>
              </w:rPr>
              <w:t>989.237,91 €</w:t>
            </w:r>
          </w:p>
        </w:tc>
      </w:tr>
    </w:tbl>
    <w:p w14:paraId="409B6EFF" w14:textId="77777777" w:rsidR="0038588C" w:rsidRPr="009743EF" w:rsidRDefault="0038588C" w:rsidP="0038588C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Osim izdanih </w:t>
      </w:r>
      <w:r w:rsidRPr="009743EF">
        <w:rPr>
          <w:rFonts w:ascii="Aptos" w:hAnsi="Aptos" w:cstheme="minorHAnsi"/>
          <w:sz w:val="22"/>
          <w:szCs w:val="22"/>
        </w:rPr>
        <w:t>vrijednosnih papira i drugih financijskih instrumenata</w:t>
      </w:r>
      <w:r>
        <w:rPr>
          <w:rFonts w:ascii="Aptos" w:hAnsi="Aptos" w:cstheme="minorHAnsi"/>
          <w:sz w:val="22"/>
          <w:szCs w:val="22"/>
        </w:rPr>
        <w:t xml:space="preserve">, vodi se evidencija i primljenih </w:t>
      </w:r>
      <w:r w:rsidRPr="009743EF">
        <w:rPr>
          <w:rFonts w:ascii="Aptos" w:hAnsi="Aptos" w:cstheme="minorHAnsi"/>
          <w:sz w:val="22"/>
          <w:szCs w:val="22"/>
        </w:rPr>
        <w:t>instrument</w:t>
      </w:r>
      <w:r>
        <w:rPr>
          <w:rFonts w:ascii="Aptos" w:hAnsi="Aptos" w:cstheme="minorHAnsi"/>
          <w:sz w:val="22"/>
          <w:szCs w:val="22"/>
        </w:rPr>
        <w:t>a</w:t>
      </w:r>
      <w:r w:rsidRPr="009743EF">
        <w:rPr>
          <w:rFonts w:ascii="Aptos" w:hAnsi="Aptos" w:cstheme="minorHAnsi"/>
          <w:sz w:val="22"/>
          <w:szCs w:val="22"/>
        </w:rPr>
        <w:t xml:space="preserve"> osiguranja plaćanja od strane pravnih osoba kao sredstvo osiguranja naplate potraživanja</w:t>
      </w:r>
      <w:r>
        <w:rPr>
          <w:rFonts w:ascii="Aptos" w:hAnsi="Aptos" w:cstheme="minorHAnsi"/>
          <w:sz w:val="22"/>
          <w:szCs w:val="22"/>
        </w:rPr>
        <w:t xml:space="preserve">, </w:t>
      </w:r>
      <w:r w:rsidRPr="009743EF">
        <w:rPr>
          <w:rFonts w:ascii="Aptos" w:hAnsi="Aptos" w:cstheme="minorHAnsi"/>
          <w:sz w:val="22"/>
          <w:szCs w:val="22"/>
        </w:rPr>
        <w:t>izvođenja radova i usluga</w:t>
      </w:r>
      <w:r>
        <w:rPr>
          <w:rFonts w:ascii="Aptos" w:hAnsi="Aptos" w:cstheme="minorHAnsi"/>
          <w:sz w:val="22"/>
          <w:szCs w:val="22"/>
        </w:rPr>
        <w:t xml:space="preserve"> ili ispunjenja ostalih ugovornih obveza, a njihova vrijednost na dan 31.12.2023. godine iznosi 1.309.571,70 €.</w:t>
      </w:r>
    </w:p>
    <w:p w14:paraId="25FE0055" w14:textId="77777777" w:rsidR="0038588C" w:rsidRPr="00F61B8D" w:rsidRDefault="0038588C" w:rsidP="0038588C">
      <w:pPr>
        <w:spacing w:before="60" w:after="60"/>
        <w:ind w:left="-425" w:right="-380" w:firstLine="284"/>
        <w:jc w:val="both"/>
        <w:rPr>
          <w:rFonts w:ascii="Aptos" w:hAnsi="Aptos" w:cstheme="minorHAnsi"/>
          <w:bCs/>
          <w:sz w:val="22"/>
          <w:szCs w:val="22"/>
          <w:u w:val="single"/>
        </w:rPr>
      </w:pPr>
      <w:r w:rsidRPr="00F61B8D">
        <w:rPr>
          <w:rFonts w:ascii="Aptos" w:hAnsi="Aptos" w:cstheme="minorHAnsi"/>
          <w:bCs/>
          <w:sz w:val="22"/>
          <w:szCs w:val="22"/>
          <w:u w:val="single"/>
        </w:rPr>
        <w:t>2. Popis sudskih sporova u tijeku.</w:t>
      </w:r>
    </w:p>
    <w:p w14:paraId="094EFB5C" w14:textId="06E5AA2A" w:rsidR="0038588C" w:rsidRDefault="0038588C" w:rsidP="00CB59E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Stanje potencijalnih obveza po osnovi sudskih postupaka radi novčane tražbine, naknade štete, utvrđenja prava vlasništva na nekretninama u gradskom vlasništvu i sl. na dan 31.12.202</w:t>
      </w:r>
      <w:r>
        <w:rPr>
          <w:rFonts w:ascii="Aptos" w:hAnsi="Aptos" w:cstheme="minorHAnsi"/>
          <w:sz w:val="22"/>
          <w:szCs w:val="22"/>
        </w:rPr>
        <w:t>3</w:t>
      </w:r>
      <w:r w:rsidRPr="00F61B8D">
        <w:rPr>
          <w:rFonts w:ascii="Aptos" w:hAnsi="Aptos" w:cstheme="minorHAnsi"/>
          <w:sz w:val="22"/>
          <w:szCs w:val="22"/>
        </w:rPr>
        <w:t xml:space="preserve">. godine iznosi </w:t>
      </w:r>
      <w:r>
        <w:rPr>
          <w:rFonts w:ascii="Aptos" w:hAnsi="Aptos" w:cstheme="minorHAnsi"/>
          <w:sz w:val="22"/>
          <w:szCs w:val="22"/>
        </w:rPr>
        <w:t>26.059,13 €</w:t>
      </w:r>
      <w:r w:rsidRPr="00F61B8D">
        <w:rPr>
          <w:rFonts w:ascii="Aptos" w:hAnsi="Aptos" w:cstheme="minorHAnsi"/>
          <w:sz w:val="22"/>
          <w:szCs w:val="22"/>
        </w:rPr>
        <w:t>, a odnosi se na sljedeće:</w:t>
      </w:r>
    </w:p>
    <w:tbl>
      <w:tblPr>
        <w:tblW w:w="10065" w:type="dxa"/>
        <w:tblInd w:w="-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75"/>
        <w:gridCol w:w="1047"/>
        <w:gridCol w:w="1046"/>
        <w:gridCol w:w="1242"/>
        <w:gridCol w:w="1006"/>
        <w:gridCol w:w="2513"/>
        <w:gridCol w:w="1134"/>
        <w:gridCol w:w="1002"/>
      </w:tblGrid>
      <w:tr w:rsidR="0038588C" w:rsidRPr="00502593" w14:paraId="6DA73A3B" w14:textId="77777777" w:rsidTr="006E5BFA">
        <w:trPr>
          <w:trHeight w:val="765"/>
        </w:trPr>
        <w:tc>
          <w:tcPr>
            <w:tcW w:w="1075" w:type="dxa"/>
            <w:shd w:val="clear" w:color="auto" w:fill="D9D9D9" w:themeFill="background1" w:themeFillShade="D9"/>
            <w:vAlign w:val="center"/>
            <w:hideMark/>
          </w:tcPr>
          <w:p w14:paraId="360DB20B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Posl. broj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  <w:hideMark/>
          </w:tcPr>
          <w:p w14:paraId="46741D9F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VPS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  <w:hideMark/>
          </w:tcPr>
          <w:p w14:paraId="6FA13D7E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Očekivani zavisni troškovi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  <w:hideMark/>
          </w:tcPr>
          <w:p w14:paraId="17C0F7B9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Tuženik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  <w:hideMark/>
          </w:tcPr>
          <w:p w14:paraId="60EC2BE1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Tužitelj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  <w:hideMark/>
          </w:tcPr>
          <w:p w14:paraId="5F5C2F01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Tijek postupka / napomene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6E841227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Iznos potencijalne obveze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  <w:hideMark/>
          </w:tcPr>
          <w:p w14:paraId="5BB9455F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Očekivani rok realizacije</w:t>
            </w:r>
          </w:p>
        </w:tc>
      </w:tr>
      <w:tr w:rsidR="0038588C" w:rsidRPr="00502593" w14:paraId="1C570378" w14:textId="77777777" w:rsidTr="006E5BFA">
        <w:trPr>
          <w:trHeight w:val="588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4371D8C7" w14:textId="77777777" w:rsidR="0038588C" w:rsidRPr="00502593" w:rsidRDefault="0038588C" w:rsidP="006E5BFA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O.S. u Rijeci P-6795/15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01962124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9.954,21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77820332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2.000,00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14:paraId="51C179F1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067003C5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D.L.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124D61A7" w14:textId="77777777" w:rsidR="0038588C" w:rsidRPr="00502593" w:rsidRDefault="0038588C" w:rsidP="006E5BFA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color w:val="000000"/>
                <w:sz w:val="16"/>
                <w:szCs w:val="16"/>
              </w:rPr>
              <w:t>Tužba na utvrđenje prava vlasništva</w:t>
            </w:r>
            <w:r w:rsidRPr="00502593">
              <w:rPr>
                <w:rFonts w:ascii="Aptos" w:hAnsi="Aptos" w:cs="Calibri"/>
                <w:sz w:val="16"/>
                <w:szCs w:val="16"/>
              </w:rPr>
              <w:t xml:space="preserve"> Predmet po drugi puta u žalbenom postupku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DA80947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11.954,21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7278B8D0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 godina</w:t>
            </w:r>
          </w:p>
        </w:tc>
      </w:tr>
      <w:tr w:rsidR="0038588C" w:rsidRPr="00502593" w14:paraId="58313F46" w14:textId="77777777" w:rsidTr="006E5BFA">
        <w:trPr>
          <w:trHeight w:val="864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512CC877" w14:textId="77777777" w:rsidR="0038588C" w:rsidRPr="00502593" w:rsidRDefault="0038588C" w:rsidP="006E5BFA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Općinski sud u Rijeci P-950/18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3E136E13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1.459,95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0A729783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14:paraId="692B3070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38EE2D34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G.P.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2448E8AD" w14:textId="77777777" w:rsidR="0038588C" w:rsidRPr="00502593" w:rsidRDefault="0038588C" w:rsidP="006E5BFA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Tužba na utvrđenje prava vlasništva. Prekid zbog smrti stranke.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C1304F3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1.459,95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0B1986D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5 godina</w:t>
            </w:r>
          </w:p>
        </w:tc>
      </w:tr>
      <w:tr w:rsidR="0038588C" w:rsidRPr="00502593" w14:paraId="7058F7B2" w14:textId="77777777" w:rsidTr="006E5BFA">
        <w:trPr>
          <w:trHeight w:val="864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74554AAD" w14:textId="77777777" w:rsidR="0038588C" w:rsidRPr="00502593" w:rsidRDefault="0038588C" w:rsidP="006E5BFA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Općinski sud u Rijeci</w:t>
            </w:r>
            <w:r>
              <w:rPr>
                <w:rFonts w:ascii="Aptos" w:hAnsi="Aptos" w:cs="Calibri"/>
                <w:sz w:val="16"/>
                <w:szCs w:val="16"/>
              </w:rPr>
              <w:t xml:space="preserve"> </w:t>
            </w:r>
            <w:r w:rsidRPr="00502593">
              <w:rPr>
                <w:rFonts w:ascii="Aptos" w:hAnsi="Aptos" w:cs="Calibri"/>
                <w:sz w:val="16"/>
                <w:szCs w:val="16"/>
              </w:rPr>
              <w:t>P-1583/20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071EBE6B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1.459,95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417BD42E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663,62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14:paraId="4687C339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61594BBB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D.J.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39BB1F99" w14:textId="77777777" w:rsidR="0038588C" w:rsidRPr="00502593" w:rsidRDefault="0038588C" w:rsidP="006E5BFA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Očekuje se donošenje prvostupanjske presude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AB8022D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2.150,57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0387121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3 godine</w:t>
            </w:r>
          </w:p>
        </w:tc>
      </w:tr>
      <w:tr w:rsidR="0038588C" w:rsidRPr="00502593" w14:paraId="3A3681E8" w14:textId="77777777" w:rsidTr="006E5BFA">
        <w:trPr>
          <w:trHeight w:val="864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20235968" w14:textId="77777777" w:rsidR="0038588C" w:rsidRPr="00502593" w:rsidRDefault="0038588C" w:rsidP="006E5BFA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Općinski sud u Rijeci Pn-57/2022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0729BA6F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3.185,35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66E1EB05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2.000,00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14:paraId="04020F96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5E1CAF21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C.R.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0D776354" w14:textId="77777777" w:rsidR="0038588C" w:rsidRPr="00502593" w:rsidRDefault="0038588C" w:rsidP="006E5BFA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Tužba zbog naknade nematerijalne i materijalne štete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82A34EE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5.185,35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63D56C4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 godine</w:t>
            </w:r>
          </w:p>
        </w:tc>
      </w:tr>
      <w:tr w:rsidR="0038588C" w:rsidRPr="00502593" w14:paraId="762C81A1" w14:textId="77777777" w:rsidTr="006E5BFA">
        <w:trPr>
          <w:trHeight w:val="864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58227FEA" w14:textId="77777777" w:rsidR="0038588C" w:rsidRPr="00502593" w:rsidRDefault="0038588C" w:rsidP="006E5BFA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lastRenderedPageBreak/>
              <w:t>Općinski sud u Rijeci P-577/2020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3E921DA8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1.327,36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06889438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1.327,23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14:paraId="40AAE82F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 i RH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779A239E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D.M.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6F556EB7" w14:textId="77777777" w:rsidR="0038588C" w:rsidRPr="00502593" w:rsidRDefault="0038588C" w:rsidP="006E5BFA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Tužba radi utvrđenja prava vlasništva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B85484F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2.654,59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333D2D9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 godine</w:t>
            </w:r>
          </w:p>
        </w:tc>
      </w:tr>
      <w:tr w:rsidR="0038588C" w:rsidRPr="00502593" w14:paraId="0290E3BD" w14:textId="77777777" w:rsidTr="006E5BFA">
        <w:trPr>
          <w:trHeight w:val="876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2476038A" w14:textId="77777777" w:rsidR="0038588C" w:rsidRPr="00502593" w:rsidRDefault="0038588C" w:rsidP="006E5BFA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Općinski sud u Rijeci P</w:t>
            </w:r>
            <w:r>
              <w:rPr>
                <w:rFonts w:ascii="Aptos" w:hAnsi="Aptos" w:cs="Calibri"/>
                <w:sz w:val="16"/>
                <w:szCs w:val="16"/>
              </w:rPr>
              <w:t>-</w:t>
            </w:r>
            <w:r w:rsidRPr="00502593">
              <w:rPr>
                <w:rFonts w:ascii="Aptos" w:hAnsi="Aptos" w:cs="Calibri"/>
                <w:sz w:val="16"/>
                <w:szCs w:val="16"/>
              </w:rPr>
              <w:t>1719/21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5E728DE3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2.654,46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6BBA259D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0,00</w:t>
            </w:r>
          </w:p>
        </w:tc>
        <w:tc>
          <w:tcPr>
            <w:tcW w:w="1242" w:type="dxa"/>
            <w:shd w:val="clear" w:color="auto" w:fill="FFFFFF" w:themeFill="background1"/>
            <w:vAlign w:val="center"/>
            <w:hideMark/>
          </w:tcPr>
          <w:p w14:paraId="5F41E44E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7DE0704E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S.Š.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264156B9" w14:textId="77777777" w:rsidR="0038588C" w:rsidRPr="00502593" w:rsidRDefault="0038588C" w:rsidP="006E5BFA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 xml:space="preserve">Postupak je tek pokrenut.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3A8D0BF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2.654,46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E5D0B8C" w14:textId="77777777" w:rsidR="0038588C" w:rsidRPr="00502593" w:rsidRDefault="0038588C" w:rsidP="006E5BFA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3 godine</w:t>
            </w:r>
          </w:p>
        </w:tc>
      </w:tr>
      <w:tr w:rsidR="0038588C" w:rsidRPr="00502593" w14:paraId="07EC4CED" w14:textId="77777777" w:rsidTr="006E5BFA">
        <w:trPr>
          <w:trHeight w:val="459"/>
        </w:trPr>
        <w:tc>
          <w:tcPr>
            <w:tcW w:w="1075" w:type="dxa"/>
            <w:shd w:val="clear" w:color="auto" w:fill="D9D9D9" w:themeFill="background1" w:themeFillShade="D9"/>
            <w:vAlign w:val="center"/>
            <w:hideMark/>
          </w:tcPr>
          <w:p w14:paraId="0B7D701A" w14:textId="77777777" w:rsidR="0038588C" w:rsidRPr="00502593" w:rsidRDefault="0038588C" w:rsidP="006E5BFA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  <w:hideMark/>
          </w:tcPr>
          <w:p w14:paraId="66424FE4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20.041,28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  <w:hideMark/>
          </w:tcPr>
          <w:p w14:paraId="18FFC260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5.990,85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  <w:hideMark/>
          </w:tcPr>
          <w:p w14:paraId="26D09E4A" w14:textId="77777777" w:rsidR="0038588C" w:rsidRPr="00502593" w:rsidRDefault="0038588C" w:rsidP="006E5BFA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  <w:hideMark/>
          </w:tcPr>
          <w:p w14:paraId="2C554650" w14:textId="77777777" w:rsidR="0038588C" w:rsidRPr="00502593" w:rsidRDefault="0038588C" w:rsidP="006E5BFA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  <w:hideMark/>
          </w:tcPr>
          <w:p w14:paraId="5E774533" w14:textId="77777777" w:rsidR="0038588C" w:rsidRPr="00502593" w:rsidRDefault="0038588C" w:rsidP="006E5BFA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20A6A313" w14:textId="77777777" w:rsidR="0038588C" w:rsidRPr="00502593" w:rsidRDefault="0038588C" w:rsidP="006E5BFA">
            <w:pPr>
              <w:jc w:val="right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26.059,13</w:t>
            </w:r>
          </w:p>
        </w:tc>
        <w:tc>
          <w:tcPr>
            <w:tcW w:w="1002" w:type="dxa"/>
            <w:shd w:val="clear" w:color="auto" w:fill="D9D9D9" w:themeFill="background1" w:themeFillShade="D9"/>
            <w:noWrap/>
            <w:vAlign w:val="center"/>
            <w:hideMark/>
          </w:tcPr>
          <w:p w14:paraId="33CAD8CF" w14:textId="77777777" w:rsidR="0038588C" w:rsidRPr="00502593" w:rsidRDefault="0038588C" w:rsidP="006E5BFA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</w:tr>
    </w:tbl>
    <w:p w14:paraId="65C318D7" w14:textId="54E6C4E2" w:rsidR="0074669D" w:rsidRPr="00F61B8D" w:rsidRDefault="0074669D" w:rsidP="00046692">
      <w:pPr>
        <w:pStyle w:val="Uvuenotijeloteksta"/>
        <w:tabs>
          <w:tab w:val="left" w:pos="360"/>
        </w:tabs>
        <w:spacing w:before="60" w:after="60"/>
        <w:ind w:right="-567" w:firstLine="0"/>
        <w:rPr>
          <w:rFonts w:ascii="Aptos" w:hAnsi="Aptos"/>
          <w:color w:val="FF0000"/>
          <w:sz w:val="22"/>
          <w:szCs w:val="22"/>
        </w:rPr>
      </w:pPr>
    </w:p>
    <w:p w14:paraId="3A19ED5C" w14:textId="7FD07705" w:rsidR="006202F0" w:rsidRPr="00F61B8D" w:rsidRDefault="0097188E" w:rsidP="00604FDB">
      <w:pPr>
        <w:shd w:val="clear" w:color="auto" w:fill="D9D9D9" w:themeFill="background1" w:themeFillShade="D9"/>
        <w:spacing w:before="60" w:after="60"/>
        <w:ind w:left="-425" w:right="-380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C</w:t>
      </w:r>
      <w:r w:rsidR="006202F0" w:rsidRPr="00F61B8D">
        <w:rPr>
          <w:rFonts w:ascii="Aptos" w:hAnsi="Aptos" w:cstheme="minorHAnsi"/>
          <w:b/>
          <w:sz w:val="22"/>
          <w:szCs w:val="22"/>
        </w:rPr>
        <w:t>/  BILJEŠKE UZ</w:t>
      </w:r>
      <w:r w:rsidR="00336844" w:rsidRPr="00F61B8D">
        <w:rPr>
          <w:rFonts w:ascii="Aptos" w:hAnsi="Aptos" w:cstheme="minorHAnsi"/>
          <w:b/>
          <w:sz w:val="22"/>
          <w:szCs w:val="22"/>
        </w:rPr>
        <w:t xml:space="preserve"> IZVJEŠTAJ O PROMJENAMA U VRIJEDNOSTI I OBUJMU IMOVINE I OBVEZA</w:t>
      </w:r>
    </w:p>
    <w:p w14:paraId="58B6DD20" w14:textId="3081D133" w:rsidR="00DC7B73" w:rsidRPr="00DC7B73" w:rsidRDefault="00DC7B73" w:rsidP="00DC7B73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1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5FC09E02" w14:textId="541D5B3F" w:rsidR="00290BDA" w:rsidRDefault="0011743A" w:rsidP="00290BDA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U ovom izvještajnom razdoblju u</w:t>
      </w:r>
      <w:r w:rsidR="0011324C" w:rsidRPr="00F61B8D">
        <w:rPr>
          <w:rFonts w:ascii="Aptos" w:hAnsi="Aptos" w:cstheme="minorHAnsi"/>
          <w:sz w:val="22"/>
          <w:szCs w:val="22"/>
        </w:rPr>
        <w:t xml:space="preserve"> </w:t>
      </w:r>
      <w:r w:rsidR="00154838" w:rsidRPr="00F61B8D">
        <w:rPr>
          <w:rFonts w:ascii="Aptos" w:hAnsi="Aptos" w:cstheme="minorHAnsi"/>
          <w:sz w:val="22"/>
          <w:szCs w:val="22"/>
        </w:rPr>
        <w:t>Izvještaju o promjenama u vrijednosti i obujmu imovine i obveza</w:t>
      </w:r>
      <w:r w:rsidR="0011324C" w:rsidRPr="00F61B8D">
        <w:rPr>
          <w:rFonts w:ascii="Aptos" w:hAnsi="Aptos" w:cstheme="minorHAnsi"/>
          <w:sz w:val="22"/>
          <w:szCs w:val="22"/>
        </w:rPr>
        <w:t xml:space="preserve"> za 202</w:t>
      </w:r>
      <w:r w:rsidR="00C73F9F">
        <w:rPr>
          <w:rFonts w:ascii="Aptos" w:hAnsi="Aptos" w:cstheme="minorHAnsi"/>
          <w:sz w:val="22"/>
          <w:szCs w:val="22"/>
        </w:rPr>
        <w:t>3</w:t>
      </w:r>
      <w:r w:rsidR="0011324C" w:rsidRPr="00F61B8D">
        <w:rPr>
          <w:rFonts w:ascii="Aptos" w:hAnsi="Aptos" w:cstheme="minorHAnsi"/>
          <w:sz w:val="22"/>
          <w:szCs w:val="22"/>
        </w:rPr>
        <w:t>. godinu iskazane su promjene uslijed povećanja odnosno smanjen</w:t>
      </w:r>
      <w:r w:rsidRPr="00F61B8D">
        <w:rPr>
          <w:rFonts w:ascii="Aptos" w:hAnsi="Aptos" w:cstheme="minorHAnsi"/>
          <w:sz w:val="22"/>
          <w:szCs w:val="22"/>
        </w:rPr>
        <w:t xml:space="preserve">ja </w:t>
      </w:r>
      <w:r w:rsidR="0011324C" w:rsidRPr="00F61B8D">
        <w:rPr>
          <w:rFonts w:ascii="Aptos" w:hAnsi="Aptos" w:cstheme="minorHAnsi"/>
          <w:sz w:val="22"/>
          <w:szCs w:val="22"/>
        </w:rPr>
        <w:t>obujma</w:t>
      </w:r>
      <w:r w:rsidR="00154838" w:rsidRPr="00F61B8D">
        <w:rPr>
          <w:rFonts w:ascii="Aptos" w:hAnsi="Aptos" w:cstheme="minorHAnsi"/>
          <w:sz w:val="22"/>
          <w:szCs w:val="22"/>
        </w:rPr>
        <w:t xml:space="preserve"> nefinancijske imovine te smanjenja u obujmu financijske imovine, kako slijedi:</w:t>
      </w: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851"/>
        <w:gridCol w:w="5529"/>
        <w:gridCol w:w="1843"/>
        <w:gridCol w:w="1559"/>
      </w:tblGrid>
      <w:tr w:rsidR="00523D96" w:rsidRPr="00523D96" w14:paraId="0597C677" w14:textId="77777777" w:rsidTr="00523D96">
        <w:trPr>
          <w:trHeight w:val="288"/>
        </w:trPr>
        <w:tc>
          <w:tcPr>
            <w:tcW w:w="851" w:type="dxa"/>
            <w:shd w:val="clear" w:color="5B9BD5" w:fill="D9D9D9"/>
            <w:noWrap/>
            <w:vAlign w:val="bottom"/>
            <w:hideMark/>
          </w:tcPr>
          <w:p w14:paraId="713599E8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523D96">
              <w:rPr>
                <w:rFonts w:ascii="Aptos" w:hAnsi="Aptos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5529" w:type="dxa"/>
            <w:shd w:val="clear" w:color="000000" w:fill="D9D9D9"/>
            <w:noWrap/>
            <w:vAlign w:val="bottom"/>
            <w:hideMark/>
          </w:tcPr>
          <w:p w14:paraId="305E4268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523D96">
              <w:rPr>
                <w:rFonts w:ascii="Aptos" w:hAnsi="Aptos" w:cs="Calibri"/>
                <w:b/>
                <w:bCs/>
                <w:sz w:val="18"/>
                <w:szCs w:val="18"/>
              </w:rPr>
              <w:t>OPIS PROMJENE</w:t>
            </w:r>
          </w:p>
        </w:tc>
        <w:tc>
          <w:tcPr>
            <w:tcW w:w="1843" w:type="dxa"/>
            <w:shd w:val="clear" w:color="000000" w:fill="D9D9D9"/>
            <w:noWrap/>
            <w:vAlign w:val="bottom"/>
            <w:hideMark/>
          </w:tcPr>
          <w:p w14:paraId="2B2663A1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523D96">
              <w:rPr>
                <w:rFonts w:ascii="Aptos" w:hAnsi="Aptos" w:cs="Calibri"/>
                <w:b/>
                <w:bCs/>
                <w:sz w:val="18"/>
                <w:szCs w:val="18"/>
              </w:rPr>
              <w:t>POVEĆANJE</w:t>
            </w:r>
          </w:p>
        </w:tc>
        <w:tc>
          <w:tcPr>
            <w:tcW w:w="1559" w:type="dxa"/>
            <w:shd w:val="clear" w:color="000000" w:fill="D9D9D9"/>
            <w:noWrap/>
            <w:vAlign w:val="bottom"/>
            <w:hideMark/>
          </w:tcPr>
          <w:p w14:paraId="7AC8D4C7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523D96">
              <w:rPr>
                <w:rFonts w:ascii="Aptos" w:hAnsi="Aptos" w:cs="Calibri"/>
                <w:b/>
                <w:bCs/>
                <w:sz w:val="18"/>
                <w:szCs w:val="18"/>
              </w:rPr>
              <w:t>SMANJENJE</w:t>
            </w:r>
          </w:p>
        </w:tc>
      </w:tr>
      <w:tr w:rsidR="00523D96" w:rsidRPr="00523D96" w14:paraId="16E9B61F" w14:textId="77777777" w:rsidTr="00523D9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A57390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PO02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84F14DC" w14:textId="77777777" w:rsidR="00523D96" w:rsidRPr="00523D96" w:rsidRDefault="00523D96" w:rsidP="00523D9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Isknjiženje ostale nematerijalne imovine - restauracija zbirke Vladislović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E00293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CFCC9F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3.305,61</w:t>
            </w:r>
          </w:p>
        </w:tc>
      </w:tr>
      <w:tr w:rsidR="00523D96" w:rsidRPr="00523D96" w14:paraId="5CA8BCF9" w14:textId="77777777" w:rsidTr="00523D9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FC8C3F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P017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99CFD37" w14:textId="77777777" w:rsidR="00523D96" w:rsidRPr="00523D96" w:rsidRDefault="00523D96" w:rsidP="00523D9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Uknjiženje zemljišta i usklađenje s Registrom nekretnina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AB06E3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7.306.707,29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341F7D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</w:tr>
      <w:tr w:rsidR="00523D96" w:rsidRPr="00523D96" w14:paraId="6E94064F" w14:textId="77777777" w:rsidTr="00523D9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668FFF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P017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09AF06ED" w14:textId="77777777" w:rsidR="00523D96" w:rsidRPr="00523D96" w:rsidRDefault="00523D96" w:rsidP="00523D9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Prijenos prava vlasništva bez naknade na ŽUC PGŽ, KLASA: 940-01/23-01/14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A96B0C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7C60A1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46.239,84</w:t>
            </w:r>
          </w:p>
        </w:tc>
      </w:tr>
      <w:tr w:rsidR="00523D96" w:rsidRPr="00523D96" w14:paraId="1CB42DCB" w14:textId="77777777" w:rsidTr="00523D9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C2EE6C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P017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4418A77" w14:textId="77777777" w:rsidR="00523D96" w:rsidRPr="00523D96" w:rsidRDefault="00523D96" w:rsidP="00523D9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Rješenje o ostavinskom postupku naslijeđena k.č. 2025/2 k.o. Bakar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69B9EA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1.035,00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0E392C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</w:tr>
      <w:tr w:rsidR="00523D96" w:rsidRPr="00523D96" w14:paraId="003728A6" w14:textId="77777777" w:rsidTr="00523D9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4D924C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P017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05F24761" w14:textId="77777777" w:rsidR="00523D96" w:rsidRPr="00523D96" w:rsidRDefault="00523D96" w:rsidP="00523D9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Ugovor o darovanju KLASA: 945-01/19-01/10, plato bivše Koksare, k.č. 2925/1, 2925/7, 2925/8, 2925/9 i 2925/5 k.o. Bakar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A8F894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4.922.688,96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552346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</w:tr>
      <w:tr w:rsidR="00523D96" w:rsidRPr="00523D96" w14:paraId="7EC11853" w14:textId="77777777" w:rsidTr="00523D9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1F114A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PO18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45E72B6F" w14:textId="77777777" w:rsidR="00523D96" w:rsidRPr="00523D96" w:rsidRDefault="00523D96" w:rsidP="00523D9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Informatička oprema - prijenos prava vlasništva od Ministarstva pros. uređenja, graditeljstva i državne imovine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7A2A99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1.365,89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C11149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</w:tr>
      <w:tr w:rsidR="00523D96" w:rsidRPr="00523D96" w14:paraId="61E0AB95" w14:textId="77777777" w:rsidTr="00523D9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CF1D44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PO18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4A28FF2" w14:textId="77777777" w:rsidR="00523D96" w:rsidRPr="00523D96" w:rsidRDefault="00523D96" w:rsidP="00523D9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Prodaja službenih automobila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791360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E92942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3.075,13</w:t>
            </w:r>
          </w:p>
        </w:tc>
      </w:tr>
      <w:tr w:rsidR="00523D96" w:rsidRPr="00523D96" w14:paraId="472138D8" w14:textId="77777777" w:rsidTr="00523D9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234E78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PO18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7C86152D" w14:textId="77777777" w:rsidR="00523D96" w:rsidRPr="00523D96" w:rsidRDefault="00523D96" w:rsidP="00523D9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Knjige darovane od obitelji Vladislović i Šimić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E75969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6.408,00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5DD780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</w:tr>
      <w:tr w:rsidR="00523D96" w:rsidRPr="00523D96" w14:paraId="53C492B2" w14:textId="77777777" w:rsidTr="00523D9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8E8D29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PO18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7CA3DCD" w14:textId="77777777" w:rsidR="00523D96" w:rsidRPr="00523D96" w:rsidRDefault="00523D96" w:rsidP="00523D9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Knjige darovane od fizičkih osoba i izdavačkih kuća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B1CE7F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432,64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4B9CA1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</w:tr>
      <w:tr w:rsidR="00523D96" w:rsidRPr="00523D96" w14:paraId="1CFF2749" w14:textId="77777777" w:rsidTr="00523D9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3C9812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PO18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2AA2C97A" w14:textId="77777777" w:rsidR="00523D96" w:rsidRPr="00523D96" w:rsidRDefault="00523D96" w:rsidP="00523D9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 xml:space="preserve">Uništene i rashodovane knjige u Gradskoj knjižnici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18061E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AF7A9A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41,69</w:t>
            </w:r>
          </w:p>
        </w:tc>
      </w:tr>
      <w:tr w:rsidR="00523D96" w:rsidRPr="00523D96" w14:paraId="118027AF" w14:textId="77777777" w:rsidTr="00523D9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92DDFC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PO29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45AC472" w14:textId="77777777" w:rsidR="00523D96" w:rsidRPr="00523D96" w:rsidRDefault="00523D96" w:rsidP="00523D9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Otpis potraživanja u postupku godišnjeg popisa imovine, potraživanja i obveza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2F1039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8E2722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268,97</w:t>
            </w:r>
          </w:p>
        </w:tc>
      </w:tr>
      <w:tr w:rsidR="00523D96" w:rsidRPr="00523D96" w14:paraId="74E7F828" w14:textId="77777777" w:rsidTr="00523D9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7F205D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PO28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4098E0A" w14:textId="77777777" w:rsidR="00523D96" w:rsidRPr="00523D96" w:rsidRDefault="00523D96" w:rsidP="00523D9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Smanjenje temeljnog kapitala sukladno Odluci o usklađenju iznosa temeljnog kapitala i poslovnog udjela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9AF204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43823B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1,51</w:t>
            </w:r>
          </w:p>
        </w:tc>
      </w:tr>
      <w:tr w:rsidR="00523D96" w:rsidRPr="00523D96" w14:paraId="4A80C096" w14:textId="77777777" w:rsidTr="00523D9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2817F0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PO18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72AF9F9" w14:textId="77777777" w:rsidR="00523D96" w:rsidRPr="00523D96" w:rsidRDefault="00523D96" w:rsidP="00523D9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Otpis opreme u postupku godišnjeg popisa imovine, potraživanja i obveza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C4B09C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B81168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304,14</w:t>
            </w:r>
          </w:p>
        </w:tc>
      </w:tr>
      <w:tr w:rsidR="00523D96" w:rsidRPr="00523D96" w14:paraId="5C41424C" w14:textId="77777777" w:rsidTr="00523D96">
        <w:trPr>
          <w:trHeight w:val="2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69135B" w14:textId="77777777" w:rsidR="00523D96" w:rsidRPr="00523D96" w:rsidRDefault="00523D96" w:rsidP="00523D96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PO18</w:t>
            </w: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0218743C" w14:textId="77777777" w:rsidR="00523D96" w:rsidRPr="00523D96" w:rsidRDefault="00523D96" w:rsidP="00523D9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Isknjiženje spremnika za otpad  prema Odluci KLASA: 024-03/23-01/23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2FE408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4BF6A0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12.130,88</w:t>
            </w:r>
          </w:p>
        </w:tc>
      </w:tr>
      <w:tr w:rsidR="00523D96" w:rsidRPr="00523D96" w14:paraId="01006BA6" w14:textId="77777777" w:rsidTr="00523D96">
        <w:trPr>
          <w:trHeight w:val="288"/>
        </w:trPr>
        <w:tc>
          <w:tcPr>
            <w:tcW w:w="851" w:type="dxa"/>
            <w:shd w:val="clear" w:color="000000" w:fill="D9D9D9"/>
            <w:noWrap/>
            <w:vAlign w:val="bottom"/>
            <w:hideMark/>
          </w:tcPr>
          <w:p w14:paraId="4E994649" w14:textId="77777777" w:rsidR="00523D96" w:rsidRPr="00523D96" w:rsidRDefault="00523D96" w:rsidP="00523D9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shd w:val="clear" w:color="000000" w:fill="D9D9D9"/>
            <w:noWrap/>
            <w:vAlign w:val="bottom"/>
            <w:hideMark/>
          </w:tcPr>
          <w:p w14:paraId="692A2ED7" w14:textId="77777777" w:rsidR="00523D96" w:rsidRPr="00523D96" w:rsidRDefault="00523D96" w:rsidP="00523D96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843" w:type="dxa"/>
            <w:shd w:val="clear" w:color="000000" w:fill="D9D9D9"/>
            <w:noWrap/>
            <w:vAlign w:val="center"/>
            <w:hideMark/>
          </w:tcPr>
          <w:p w14:paraId="1253E385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12.238.637,78</w:t>
            </w:r>
          </w:p>
        </w:tc>
        <w:tc>
          <w:tcPr>
            <w:tcW w:w="1559" w:type="dxa"/>
            <w:shd w:val="clear" w:color="000000" w:fill="D9D9D9"/>
            <w:noWrap/>
            <w:vAlign w:val="center"/>
            <w:hideMark/>
          </w:tcPr>
          <w:p w14:paraId="374C30FF" w14:textId="77777777" w:rsidR="00523D96" w:rsidRPr="00523D96" w:rsidRDefault="00523D96" w:rsidP="00523D96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523D96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65.367,77</w:t>
            </w:r>
          </w:p>
        </w:tc>
      </w:tr>
    </w:tbl>
    <w:p w14:paraId="4286CEEA" w14:textId="77777777" w:rsidR="009D4863" w:rsidRPr="00F61B8D" w:rsidRDefault="009D4863" w:rsidP="00CF7F51">
      <w:pPr>
        <w:pStyle w:val="Zaglavlje"/>
        <w:tabs>
          <w:tab w:val="clear" w:pos="4320"/>
          <w:tab w:val="clear" w:pos="8640"/>
        </w:tabs>
        <w:jc w:val="both"/>
        <w:rPr>
          <w:rFonts w:ascii="Aptos" w:hAnsi="Aptos"/>
          <w:sz w:val="22"/>
          <w:szCs w:val="22"/>
          <w:lang w:val="en-AU"/>
        </w:rPr>
      </w:pPr>
    </w:p>
    <w:p w14:paraId="5A962466" w14:textId="4BC1AF3C" w:rsidR="006202F0" w:rsidRPr="00F61B8D" w:rsidRDefault="00290BDA" w:rsidP="00604FDB">
      <w:pPr>
        <w:shd w:val="clear" w:color="auto" w:fill="D9D9D9" w:themeFill="background1" w:themeFillShade="D9"/>
        <w:spacing w:before="60" w:after="60"/>
        <w:ind w:left="-425" w:right="-380"/>
        <w:jc w:val="both"/>
        <w:rPr>
          <w:rFonts w:ascii="Aptos" w:hAnsi="Aptos" w:cstheme="minorHAnsi"/>
          <w:b/>
          <w:sz w:val="22"/>
          <w:szCs w:val="22"/>
        </w:rPr>
      </w:pPr>
      <w:r>
        <w:rPr>
          <w:rFonts w:ascii="Aptos" w:hAnsi="Aptos" w:cstheme="minorHAnsi"/>
          <w:b/>
          <w:sz w:val="22"/>
          <w:szCs w:val="22"/>
        </w:rPr>
        <w:t>D</w:t>
      </w:r>
      <w:r w:rsidR="006202F0" w:rsidRPr="00F61B8D">
        <w:rPr>
          <w:rFonts w:ascii="Aptos" w:hAnsi="Aptos" w:cstheme="minorHAnsi"/>
          <w:b/>
          <w:sz w:val="22"/>
          <w:szCs w:val="22"/>
        </w:rPr>
        <w:t xml:space="preserve">/  BILJEŠKE UZ IZVJEŠTAJ O OBVEZAMA  </w:t>
      </w:r>
    </w:p>
    <w:p w14:paraId="652692C7" w14:textId="305CC167" w:rsidR="00290BDA" w:rsidRPr="00290BDA" w:rsidRDefault="00290BDA" w:rsidP="00290BDA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1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B1A30AF" w14:textId="00D5600C" w:rsidR="00290BDA" w:rsidRPr="0004493C" w:rsidRDefault="00290BDA" w:rsidP="00290BDA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04493C">
        <w:rPr>
          <w:rFonts w:ascii="Aptos" w:hAnsi="Aptos" w:cstheme="minorHAnsi"/>
          <w:sz w:val="22"/>
          <w:szCs w:val="22"/>
        </w:rPr>
        <w:t xml:space="preserve">U izvještajnom razdoblju povećanje obveza </w:t>
      </w:r>
      <w:r w:rsidR="003B6403" w:rsidRPr="0004493C">
        <w:rPr>
          <w:rFonts w:ascii="Aptos" w:hAnsi="Aptos" w:cstheme="minorHAnsi"/>
          <w:sz w:val="22"/>
          <w:szCs w:val="22"/>
        </w:rPr>
        <w:t xml:space="preserve">- </w:t>
      </w:r>
      <w:r w:rsidRPr="0004493C">
        <w:rPr>
          <w:rFonts w:ascii="Aptos" w:hAnsi="Aptos" w:cstheme="minorHAnsi"/>
          <w:sz w:val="22"/>
          <w:szCs w:val="22"/>
        </w:rPr>
        <w:t xml:space="preserve">šifra V002 u iznosu od </w:t>
      </w:r>
      <w:r w:rsidR="0004493C">
        <w:rPr>
          <w:rFonts w:ascii="Aptos" w:hAnsi="Aptos" w:cstheme="minorHAnsi"/>
          <w:sz w:val="22"/>
          <w:szCs w:val="22"/>
        </w:rPr>
        <w:t>10.976.447,66</w:t>
      </w:r>
      <w:r w:rsidRPr="0004493C">
        <w:rPr>
          <w:rFonts w:ascii="Aptos" w:hAnsi="Aptos" w:cstheme="minorHAnsi"/>
          <w:sz w:val="22"/>
          <w:szCs w:val="22"/>
        </w:rPr>
        <w:t xml:space="preserve"> € obuhvaća obveze za rashode poslovanja u iznosu od </w:t>
      </w:r>
      <w:r w:rsidR="0004493C">
        <w:rPr>
          <w:rFonts w:ascii="Aptos" w:hAnsi="Aptos" w:cstheme="minorHAnsi"/>
          <w:sz w:val="22"/>
          <w:szCs w:val="22"/>
        </w:rPr>
        <w:t>6.670.299,74</w:t>
      </w:r>
      <w:r w:rsidRPr="0004493C">
        <w:rPr>
          <w:rFonts w:ascii="Aptos" w:hAnsi="Aptos" w:cstheme="minorHAnsi"/>
          <w:sz w:val="22"/>
          <w:szCs w:val="22"/>
        </w:rPr>
        <w:t xml:space="preserve"> €</w:t>
      </w:r>
      <w:r w:rsidR="003B6403" w:rsidRPr="0004493C">
        <w:rPr>
          <w:rFonts w:ascii="Aptos" w:hAnsi="Aptos" w:cstheme="minorHAnsi"/>
          <w:sz w:val="22"/>
          <w:szCs w:val="22"/>
        </w:rPr>
        <w:t xml:space="preserve">, obveze za nabavu nefinancijske imovine u iznosu od </w:t>
      </w:r>
      <w:r w:rsidR="0004493C">
        <w:rPr>
          <w:rFonts w:ascii="Aptos" w:hAnsi="Aptos" w:cstheme="minorHAnsi"/>
          <w:sz w:val="22"/>
          <w:szCs w:val="22"/>
        </w:rPr>
        <w:t>4.104.240,16</w:t>
      </w:r>
      <w:r w:rsidR="003B6403" w:rsidRPr="0004493C">
        <w:rPr>
          <w:rFonts w:ascii="Aptos" w:hAnsi="Aptos" w:cstheme="minorHAnsi"/>
          <w:sz w:val="22"/>
          <w:szCs w:val="22"/>
        </w:rPr>
        <w:t xml:space="preserve"> € te obveze za financijsku imovinu u iznosu od 201.907,76 €.</w:t>
      </w:r>
    </w:p>
    <w:p w14:paraId="61E6A590" w14:textId="77777777" w:rsidR="00290BDA" w:rsidRPr="0004493C" w:rsidRDefault="00290BDA" w:rsidP="00290BDA">
      <w:pPr>
        <w:spacing w:before="80" w:after="80"/>
        <w:ind w:left="-425" w:right="-380" w:firstLine="284"/>
        <w:jc w:val="center"/>
        <w:rPr>
          <w:rFonts w:ascii="Ebrima" w:hAnsi="Ebrima" w:cs="Calibri"/>
          <w:b/>
          <w:bCs/>
          <w:sz w:val="18"/>
          <w:szCs w:val="18"/>
        </w:rPr>
      </w:pPr>
      <w:r w:rsidRPr="0004493C">
        <w:rPr>
          <w:rFonts w:ascii="Aptos" w:hAnsi="Aptos" w:cs="Calibri"/>
          <w:b/>
          <w:bCs/>
          <w:sz w:val="22"/>
          <w:szCs w:val="22"/>
        </w:rPr>
        <w:t>Bilješka 2.</w:t>
      </w:r>
    </w:p>
    <w:p w14:paraId="7CDB3FC6" w14:textId="563C2662" w:rsidR="003B6403" w:rsidRDefault="00290BDA" w:rsidP="00290BDA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04493C">
        <w:rPr>
          <w:rFonts w:ascii="Aptos" w:hAnsi="Aptos" w:cstheme="minorHAnsi"/>
          <w:sz w:val="22"/>
          <w:szCs w:val="22"/>
        </w:rPr>
        <w:t xml:space="preserve">Podmirene obveze </w:t>
      </w:r>
      <w:r w:rsidR="003B6403" w:rsidRPr="0004493C">
        <w:rPr>
          <w:rFonts w:ascii="Aptos" w:hAnsi="Aptos" w:cstheme="minorHAnsi"/>
          <w:sz w:val="22"/>
          <w:szCs w:val="22"/>
        </w:rPr>
        <w:t xml:space="preserve">- </w:t>
      </w:r>
      <w:r w:rsidRPr="0004493C">
        <w:rPr>
          <w:rFonts w:ascii="Aptos" w:hAnsi="Aptos" w:cstheme="minorHAnsi"/>
          <w:sz w:val="22"/>
          <w:szCs w:val="22"/>
        </w:rPr>
        <w:t xml:space="preserve">šifra V004 u izvještajnom razdoblju iznose </w:t>
      </w:r>
      <w:r w:rsidR="0004493C">
        <w:rPr>
          <w:rFonts w:ascii="Aptos" w:hAnsi="Aptos" w:cstheme="minorHAnsi"/>
          <w:sz w:val="22"/>
          <w:szCs w:val="22"/>
        </w:rPr>
        <w:t>11.629.002,44</w:t>
      </w:r>
      <w:r w:rsidR="003B6403" w:rsidRPr="0004493C">
        <w:rPr>
          <w:rFonts w:ascii="Aptos" w:hAnsi="Aptos" w:cstheme="minorHAnsi"/>
          <w:sz w:val="22"/>
          <w:szCs w:val="22"/>
        </w:rPr>
        <w:t xml:space="preserve"> €</w:t>
      </w:r>
      <w:r w:rsidRPr="0004493C">
        <w:rPr>
          <w:rFonts w:ascii="Aptos" w:hAnsi="Aptos" w:cstheme="minorHAnsi"/>
          <w:sz w:val="22"/>
          <w:szCs w:val="22"/>
        </w:rPr>
        <w:t xml:space="preserve"> i odnose se na obveze za rashode poslovanja u iznosu od </w:t>
      </w:r>
      <w:r w:rsidR="0004493C">
        <w:rPr>
          <w:rFonts w:ascii="Aptos" w:hAnsi="Aptos" w:cstheme="minorHAnsi"/>
          <w:sz w:val="22"/>
          <w:szCs w:val="22"/>
        </w:rPr>
        <w:t>6.488.779,96</w:t>
      </w:r>
      <w:r w:rsidRPr="0004493C">
        <w:rPr>
          <w:rFonts w:ascii="Aptos" w:hAnsi="Aptos" w:cstheme="minorHAnsi"/>
          <w:sz w:val="22"/>
          <w:szCs w:val="22"/>
        </w:rPr>
        <w:t xml:space="preserve"> € i obveze za nabavu nefinancijske imovine u iznosu od </w:t>
      </w:r>
      <w:r w:rsidR="0004493C">
        <w:rPr>
          <w:rFonts w:ascii="Aptos" w:hAnsi="Aptos" w:cstheme="minorHAnsi"/>
          <w:sz w:val="22"/>
          <w:szCs w:val="22"/>
        </w:rPr>
        <w:t>4.747.194,71</w:t>
      </w:r>
      <w:r w:rsidR="003B6403" w:rsidRPr="0004493C">
        <w:rPr>
          <w:rFonts w:ascii="Aptos" w:hAnsi="Aptos" w:cstheme="minorHAnsi"/>
          <w:sz w:val="22"/>
          <w:szCs w:val="22"/>
        </w:rPr>
        <w:t xml:space="preserve"> €,</w:t>
      </w:r>
      <w:r w:rsidRPr="0004493C">
        <w:rPr>
          <w:rFonts w:ascii="Aptos" w:hAnsi="Aptos" w:cstheme="minorHAnsi"/>
          <w:sz w:val="22"/>
          <w:szCs w:val="22"/>
        </w:rPr>
        <w:t xml:space="preserve"> dok su obveze za financijsku imovinu iskazane u iznosu od </w:t>
      </w:r>
      <w:r w:rsidR="003B6403" w:rsidRPr="0004493C">
        <w:rPr>
          <w:rFonts w:ascii="Aptos" w:hAnsi="Aptos" w:cstheme="minorHAnsi"/>
          <w:sz w:val="22"/>
          <w:szCs w:val="22"/>
        </w:rPr>
        <w:t xml:space="preserve">393.027,77 </w:t>
      </w:r>
      <w:r w:rsidRPr="0004493C">
        <w:rPr>
          <w:rFonts w:ascii="Aptos" w:hAnsi="Aptos" w:cstheme="minorHAnsi"/>
          <w:sz w:val="22"/>
          <w:szCs w:val="22"/>
        </w:rPr>
        <w:t xml:space="preserve">€. </w:t>
      </w:r>
    </w:p>
    <w:p w14:paraId="1AC2DCB6" w14:textId="77777777" w:rsidR="005A30D2" w:rsidRDefault="005A30D2" w:rsidP="00290BDA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6E5F837A" w14:textId="77777777" w:rsidR="005A30D2" w:rsidRPr="0004493C" w:rsidRDefault="005A30D2" w:rsidP="00290BDA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0C1CDA53" w14:textId="3DE8A498" w:rsidR="004D3C28" w:rsidRPr="0004493C" w:rsidRDefault="003B6403" w:rsidP="0004493C">
      <w:pPr>
        <w:spacing w:before="80" w:after="80"/>
        <w:ind w:left="-425" w:right="-380" w:firstLine="284"/>
        <w:jc w:val="center"/>
        <w:rPr>
          <w:rFonts w:ascii="Ebrima" w:hAnsi="Ebrima" w:cs="Calibri"/>
          <w:b/>
          <w:bCs/>
          <w:color w:val="000000"/>
          <w:sz w:val="18"/>
          <w:szCs w:val="18"/>
        </w:rPr>
      </w:pPr>
      <w:r w:rsidRPr="003B6403">
        <w:rPr>
          <w:rFonts w:ascii="Aptos" w:hAnsi="Aptos" w:cs="Calibri"/>
          <w:b/>
          <w:bCs/>
          <w:color w:val="000000"/>
          <w:sz w:val="22"/>
          <w:szCs w:val="22"/>
        </w:rPr>
        <w:lastRenderedPageBreak/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3</w:t>
      </w:r>
      <w:r w:rsidRPr="003B6403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6CE3FBEF" w14:textId="1E3AB16C" w:rsidR="007F5E12" w:rsidRDefault="007F5E12" w:rsidP="007F5E1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3B6403">
        <w:rPr>
          <w:rFonts w:ascii="Aptos" w:hAnsi="Aptos" w:cstheme="minorHAnsi"/>
          <w:sz w:val="22"/>
          <w:szCs w:val="22"/>
        </w:rPr>
        <w:t>Na kraju izvještajnog razdoblja stanje obveza</w:t>
      </w:r>
      <w:r>
        <w:rPr>
          <w:rFonts w:ascii="Aptos" w:hAnsi="Aptos" w:cstheme="minorHAnsi"/>
          <w:sz w:val="22"/>
          <w:szCs w:val="22"/>
        </w:rPr>
        <w:t xml:space="preserve"> – šifra V006</w:t>
      </w:r>
      <w:r w:rsidRPr="003B6403">
        <w:rPr>
          <w:rFonts w:ascii="Aptos" w:hAnsi="Aptos" w:cstheme="minorHAnsi"/>
          <w:sz w:val="22"/>
          <w:szCs w:val="22"/>
        </w:rPr>
        <w:t xml:space="preserve"> iznosi </w:t>
      </w:r>
      <w:r w:rsidR="0004493C">
        <w:rPr>
          <w:rFonts w:ascii="Aptos" w:hAnsi="Aptos" w:cstheme="minorHAnsi"/>
          <w:sz w:val="22"/>
          <w:szCs w:val="22"/>
        </w:rPr>
        <w:t>1.235.761,94</w:t>
      </w:r>
      <w:r>
        <w:rPr>
          <w:rFonts w:ascii="Aptos" w:hAnsi="Aptos" w:cstheme="minorHAnsi"/>
          <w:sz w:val="22"/>
          <w:szCs w:val="22"/>
        </w:rPr>
        <w:t xml:space="preserve"> </w:t>
      </w:r>
      <w:r w:rsidRPr="003B6403">
        <w:rPr>
          <w:rFonts w:ascii="Aptos" w:hAnsi="Aptos" w:cstheme="minorHAnsi"/>
          <w:sz w:val="22"/>
          <w:szCs w:val="22"/>
        </w:rPr>
        <w:t xml:space="preserve">€, pri čemu stanje dospjelih obveza </w:t>
      </w:r>
      <w:r>
        <w:rPr>
          <w:rFonts w:ascii="Aptos" w:hAnsi="Aptos" w:cstheme="minorHAnsi"/>
          <w:sz w:val="22"/>
          <w:szCs w:val="22"/>
        </w:rPr>
        <w:t xml:space="preserve">– šifra V007 </w:t>
      </w:r>
      <w:r w:rsidRPr="003B6403">
        <w:rPr>
          <w:rFonts w:ascii="Aptos" w:hAnsi="Aptos" w:cstheme="minorHAnsi"/>
          <w:sz w:val="22"/>
          <w:szCs w:val="22"/>
        </w:rPr>
        <w:t>na kraju izvještajnog razdoblja iznos</w:t>
      </w:r>
      <w:r>
        <w:rPr>
          <w:rFonts w:ascii="Aptos" w:hAnsi="Aptos" w:cstheme="minorHAnsi"/>
          <w:sz w:val="22"/>
          <w:szCs w:val="22"/>
        </w:rPr>
        <w:t>i</w:t>
      </w:r>
      <w:r w:rsidRPr="003B6403">
        <w:rPr>
          <w:rFonts w:ascii="Aptos" w:hAnsi="Aptos" w:cstheme="minorHAnsi"/>
          <w:sz w:val="22"/>
          <w:szCs w:val="22"/>
        </w:rPr>
        <w:t xml:space="preserve"> </w:t>
      </w:r>
      <w:r>
        <w:rPr>
          <w:rFonts w:ascii="Aptos" w:hAnsi="Aptos" w:cstheme="minorHAnsi"/>
          <w:sz w:val="22"/>
          <w:szCs w:val="22"/>
        </w:rPr>
        <w:t>133.156,56 €.</w:t>
      </w:r>
    </w:p>
    <w:p w14:paraId="0144EA60" w14:textId="77777777" w:rsidR="007F5E12" w:rsidRDefault="007F5E12" w:rsidP="007F5E1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Od ukupno dospjelih obveza unutar 60 dana dospjelo je na plaćanje 132.891,11 € ili 99,8%, a odnose se na obveze iz izvještajnog razdoblja po računima koji su zaprimljeni tijekom siječnja i veljače 2024. godine. Radi primjene novog postupka </w:t>
      </w:r>
      <w:r w:rsidRPr="00216C04">
        <w:rPr>
          <w:rFonts w:ascii="Aptos" w:hAnsi="Aptos" w:cstheme="minorHAnsi"/>
          <w:sz w:val="22"/>
          <w:szCs w:val="22"/>
        </w:rPr>
        <w:t>zaprimanja računa unutar ustrojstvenih jedinica Grada Bakra,njihove kontrole i ovjere</w:t>
      </w:r>
      <w:r>
        <w:rPr>
          <w:rFonts w:ascii="Aptos" w:hAnsi="Aptos" w:cstheme="minorHAnsi"/>
          <w:sz w:val="22"/>
          <w:szCs w:val="22"/>
        </w:rPr>
        <w:t xml:space="preserve"> došlo je i do kašnjenja u plaćanju.</w:t>
      </w:r>
    </w:p>
    <w:p w14:paraId="4BE023BD" w14:textId="77777777" w:rsidR="007F5E12" w:rsidRDefault="007F5E12" w:rsidP="007F5E1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Preostala obveza od 265,45 €, čije je dospjeće plaćanja preko 360 dana, odnosi se na obvezu </w:t>
      </w:r>
      <w:r w:rsidRPr="003B6403">
        <w:rPr>
          <w:rFonts w:ascii="Aptos" w:hAnsi="Aptos" w:cstheme="minorHAnsi"/>
          <w:sz w:val="22"/>
          <w:szCs w:val="22"/>
        </w:rPr>
        <w:t xml:space="preserve">za usluge izrade geodetske podloge za projektiranje u svrhu ishođenja lokacijske dozvole koje nisu u potpunosti odrađene, a obročno plaćanje je prethodno iskomunicirano s izvršiteljem. </w:t>
      </w:r>
    </w:p>
    <w:p w14:paraId="6DA225D4" w14:textId="77777777" w:rsidR="007F5E12" w:rsidRPr="00367F53" w:rsidRDefault="007F5E12" w:rsidP="007F5E12">
      <w:pPr>
        <w:pStyle w:val="Zaglavlje"/>
        <w:tabs>
          <w:tab w:val="clear" w:pos="4320"/>
          <w:tab w:val="clear" w:pos="8640"/>
        </w:tabs>
        <w:spacing w:before="60" w:after="60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223A685F" w14:textId="77777777" w:rsidR="004D3C28" w:rsidRDefault="004D3C28" w:rsidP="004D3C28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0D944E7F" w14:textId="77777777" w:rsidR="004D3C28" w:rsidRDefault="004D3C28" w:rsidP="004D3C28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02A89A67" w14:textId="77777777" w:rsidR="004D3C28" w:rsidRDefault="004D3C28" w:rsidP="004D3C28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18891B3B" w14:textId="77777777" w:rsidR="004D3C28" w:rsidRDefault="004D3C28" w:rsidP="004D3C28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2FD18521" w14:textId="045E83F2" w:rsidR="006202F0" w:rsidRPr="004D3C28" w:rsidRDefault="006202F0" w:rsidP="004D3C28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  <w:lang w:val="en-AU"/>
        </w:rPr>
        <w:t xml:space="preserve">Bakar, </w:t>
      </w:r>
      <w:r w:rsidR="00B90F4B" w:rsidRPr="00F61B8D">
        <w:rPr>
          <w:rFonts w:ascii="Aptos" w:hAnsi="Aptos" w:cstheme="minorHAnsi"/>
          <w:sz w:val="22"/>
          <w:szCs w:val="22"/>
          <w:lang w:val="en-AU"/>
        </w:rPr>
        <w:t>1</w:t>
      </w:r>
      <w:r w:rsidR="005A30D2">
        <w:rPr>
          <w:rFonts w:ascii="Aptos" w:hAnsi="Aptos" w:cstheme="minorHAnsi"/>
          <w:sz w:val="22"/>
          <w:szCs w:val="22"/>
          <w:lang w:val="en-AU"/>
        </w:rPr>
        <w:t>6</w:t>
      </w:r>
      <w:r w:rsidR="00B90F4B" w:rsidRPr="00F61B8D">
        <w:rPr>
          <w:rFonts w:ascii="Aptos" w:hAnsi="Aptos" w:cstheme="minorHAnsi"/>
          <w:sz w:val="22"/>
          <w:szCs w:val="22"/>
          <w:lang w:val="en-AU"/>
        </w:rPr>
        <w:t>. veljače 202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>4</w:t>
      </w:r>
      <w:r w:rsidRPr="00F61B8D">
        <w:rPr>
          <w:rFonts w:ascii="Aptos" w:hAnsi="Aptos" w:cstheme="minorHAnsi"/>
          <w:sz w:val="22"/>
          <w:szCs w:val="22"/>
          <w:lang w:val="en-AU"/>
        </w:rPr>
        <w:t>. godine</w:t>
      </w:r>
    </w:p>
    <w:p w14:paraId="13ECFF3C" w14:textId="6ADB37C6" w:rsidR="006202F0" w:rsidRPr="00F61B8D" w:rsidRDefault="006202F0" w:rsidP="006202F0">
      <w:pPr>
        <w:pStyle w:val="Zaglavlje"/>
        <w:tabs>
          <w:tab w:val="clear" w:pos="4320"/>
          <w:tab w:val="clear" w:pos="8640"/>
        </w:tabs>
        <w:spacing w:before="60" w:after="60"/>
        <w:jc w:val="both"/>
        <w:rPr>
          <w:rFonts w:ascii="Aptos" w:hAnsi="Aptos" w:cstheme="minorHAnsi"/>
          <w:sz w:val="22"/>
          <w:szCs w:val="22"/>
          <w:lang w:val="en-AU"/>
        </w:rPr>
      </w:pPr>
      <w:r w:rsidRPr="00F61B8D">
        <w:rPr>
          <w:rFonts w:ascii="Aptos" w:hAnsi="Aptos" w:cstheme="minorHAnsi"/>
          <w:sz w:val="22"/>
          <w:szCs w:val="22"/>
          <w:lang w:val="en-AU"/>
        </w:rPr>
        <w:t xml:space="preserve">                                                                                                                          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 xml:space="preserve">                </w:t>
      </w:r>
      <w:r w:rsidR="004D3C28">
        <w:rPr>
          <w:rFonts w:ascii="Aptos" w:hAnsi="Aptos" w:cstheme="minorHAnsi"/>
          <w:sz w:val="22"/>
          <w:szCs w:val="22"/>
          <w:lang w:val="en-AU"/>
        </w:rPr>
        <w:t xml:space="preserve">      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 xml:space="preserve">  </w:t>
      </w:r>
      <w:r w:rsidR="005A30D2">
        <w:rPr>
          <w:rFonts w:ascii="Aptos" w:hAnsi="Aptos" w:cstheme="minorHAnsi"/>
          <w:sz w:val="22"/>
          <w:szCs w:val="22"/>
          <w:lang w:val="en-AU"/>
        </w:rPr>
        <w:t xml:space="preserve">    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 xml:space="preserve"> </w:t>
      </w:r>
      <w:r w:rsidRPr="00F61B8D">
        <w:rPr>
          <w:rFonts w:ascii="Aptos" w:hAnsi="Aptos" w:cstheme="minorHAnsi"/>
          <w:sz w:val="22"/>
          <w:szCs w:val="22"/>
          <w:lang w:val="en-AU"/>
        </w:rPr>
        <w:t>P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>ROČELNICA</w:t>
      </w:r>
      <w:r w:rsidRPr="00F61B8D">
        <w:rPr>
          <w:rFonts w:ascii="Aptos" w:hAnsi="Aptos" w:cstheme="minorHAnsi"/>
          <w:sz w:val="22"/>
          <w:szCs w:val="22"/>
          <w:lang w:val="en-AU"/>
        </w:rPr>
        <w:t>:</w:t>
      </w:r>
    </w:p>
    <w:p w14:paraId="08CF5085" w14:textId="2170E0CC" w:rsidR="006202F0" w:rsidRPr="00F61B8D" w:rsidRDefault="006202F0" w:rsidP="006202F0">
      <w:pPr>
        <w:pStyle w:val="Zaglavlje"/>
        <w:tabs>
          <w:tab w:val="clear" w:pos="4320"/>
          <w:tab w:val="clear" w:pos="8640"/>
        </w:tabs>
        <w:jc w:val="both"/>
        <w:rPr>
          <w:rFonts w:ascii="Aptos" w:hAnsi="Aptos" w:cstheme="minorHAnsi"/>
          <w:sz w:val="22"/>
          <w:szCs w:val="22"/>
          <w:lang w:val="en-AU"/>
        </w:rPr>
      </w:pPr>
      <w:r w:rsidRPr="00F61B8D">
        <w:rPr>
          <w:rFonts w:ascii="Aptos" w:hAnsi="Aptos" w:cstheme="minorHAnsi"/>
          <w:sz w:val="22"/>
          <w:szCs w:val="22"/>
          <w:lang w:val="en-AU"/>
        </w:rPr>
        <w:t xml:space="preserve">                                                                                                                 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 xml:space="preserve">                            </w:t>
      </w:r>
      <w:r w:rsidR="004D3C28">
        <w:rPr>
          <w:rFonts w:ascii="Aptos" w:hAnsi="Aptos" w:cstheme="minorHAnsi"/>
          <w:sz w:val="22"/>
          <w:szCs w:val="22"/>
          <w:lang w:val="en-AU"/>
        </w:rPr>
        <w:t xml:space="preserve">      </w:t>
      </w:r>
      <w:r w:rsidR="005A30D2">
        <w:rPr>
          <w:rFonts w:ascii="Aptos" w:hAnsi="Aptos" w:cstheme="minorHAnsi"/>
          <w:sz w:val="22"/>
          <w:szCs w:val="22"/>
          <w:lang w:val="en-AU"/>
        </w:rPr>
        <w:t xml:space="preserve">    </w:t>
      </w:r>
      <w:r w:rsidR="004D3C28">
        <w:rPr>
          <w:rFonts w:ascii="Aptos" w:hAnsi="Aptos" w:cstheme="minorHAnsi"/>
          <w:sz w:val="22"/>
          <w:szCs w:val="22"/>
          <w:lang w:val="en-AU"/>
        </w:rPr>
        <w:t xml:space="preserve"> 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 xml:space="preserve"> </w:t>
      </w:r>
      <w:r w:rsidRPr="00F61B8D">
        <w:rPr>
          <w:rFonts w:ascii="Aptos" w:hAnsi="Aptos" w:cstheme="minorHAnsi"/>
          <w:sz w:val="22"/>
          <w:szCs w:val="22"/>
          <w:lang w:val="en-AU"/>
        </w:rPr>
        <w:t>Iva Marohnić</w:t>
      </w:r>
    </w:p>
    <w:p w14:paraId="11247A71" w14:textId="25FF9F7C" w:rsidR="00CF7F51" w:rsidRPr="00F61B8D" w:rsidRDefault="00CF7F51" w:rsidP="006202F0">
      <w:pPr>
        <w:pStyle w:val="Zaglavlje"/>
        <w:tabs>
          <w:tab w:val="clear" w:pos="4320"/>
          <w:tab w:val="clear" w:pos="8640"/>
        </w:tabs>
        <w:jc w:val="both"/>
        <w:rPr>
          <w:rFonts w:ascii="Aptos" w:hAnsi="Aptos"/>
          <w:sz w:val="22"/>
          <w:szCs w:val="22"/>
          <w:lang w:val="en-AU"/>
        </w:rPr>
      </w:pPr>
    </w:p>
    <w:sectPr w:rsidR="00CF7F51" w:rsidRPr="00F61B8D" w:rsidSect="006F0D3A">
      <w:headerReference w:type="even" r:id="rId9"/>
      <w:headerReference w:type="default" r:id="rId10"/>
      <w:pgSz w:w="11907" w:h="16840" w:code="9"/>
      <w:pgMar w:top="1440" w:right="1134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5B1DD" w14:textId="77777777" w:rsidR="006F0D3A" w:rsidRDefault="006F0D3A">
      <w:r>
        <w:separator/>
      </w:r>
    </w:p>
  </w:endnote>
  <w:endnote w:type="continuationSeparator" w:id="0">
    <w:p w14:paraId="631B4AB1" w14:textId="77777777" w:rsidR="006F0D3A" w:rsidRDefault="006F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37152" w14:textId="77777777" w:rsidR="006F0D3A" w:rsidRDefault="006F0D3A">
      <w:r>
        <w:separator/>
      </w:r>
    </w:p>
  </w:footnote>
  <w:footnote w:type="continuationSeparator" w:id="0">
    <w:p w14:paraId="14514F7C" w14:textId="77777777" w:rsidR="006F0D3A" w:rsidRDefault="006F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3CDB" w14:textId="77777777" w:rsidR="008C4538" w:rsidRDefault="008C453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2C7924B" w14:textId="77777777" w:rsidR="008C4538" w:rsidRDefault="008C4538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018C8" w14:textId="77777777" w:rsidR="008C4538" w:rsidRDefault="008C4538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3047"/>
    <w:multiLevelType w:val="hybridMultilevel"/>
    <w:tmpl w:val="C0504FD6"/>
    <w:lvl w:ilvl="0" w:tplc="041A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184839D3"/>
    <w:multiLevelType w:val="hybridMultilevel"/>
    <w:tmpl w:val="FF24A064"/>
    <w:lvl w:ilvl="0" w:tplc="D77A162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23F5A"/>
    <w:multiLevelType w:val="hybridMultilevel"/>
    <w:tmpl w:val="5D32B2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0074"/>
    <w:multiLevelType w:val="hybridMultilevel"/>
    <w:tmpl w:val="09102AA8"/>
    <w:lvl w:ilvl="0" w:tplc="BAFCDD08">
      <w:start w:val="31"/>
      <w:numFmt w:val="bullet"/>
      <w:lvlText w:val="-"/>
      <w:lvlJc w:val="left"/>
      <w:pPr>
        <w:ind w:left="294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C1F387E"/>
    <w:multiLevelType w:val="hybridMultilevel"/>
    <w:tmpl w:val="3DB26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1E8A"/>
    <w:multiLevelType w:val="hybridMultilevel"/>
    <w:tmpl w:val="57CC9F5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02A4"/>
    <w:multiLevelType w:val="hybridMultilevel"/>
    <w:tmpl w:val="E50EF81A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11A166F"/>
    <w:multiLevelType w:val="hybridMultilevel"/>
    <w:tmpl w:val="913ACBC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26757"/>
    <w:multiLevelType w:val="hybridMultilevel"/>
    <w:tmpl w:val="733C3B3A"/>
    <w:lvl w:ilvl="0" w:tplc="20E2C6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98547056">
      <w:start w:val="126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716C01FF"/>
    <w:multiLevelType w:val="hybridMultilevel"/>
    <w:tmpl w:val="63FC11C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85F1C"/>
    <w:multiLevelType w:val="hybridMultilevel"/>
    <w:tmpl w:val="1A9E83C4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BA12782"/>
    <w:multiLevelType w:val="hybridMultilevel"/>
    <w:tmpl w:val="4E8E0280"/>
    <w:lvl w:ilvl="0" w:tplc="2F22974E">
      <w:start w:val="31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823767004">
    <w:abstractNumId w:val="8"/>
  </w:num>
  <w:num w:numId="2" w16cid:durableId="2077778103">
    <w:abstractNumId w:val="9"/>
  </w:num>
  <w:num w:numId="3" w16cid:durableId="934630681">
    <w:abstractNumId w:val="7"/>
  </w:num>
  <w:num w:numId="4" w16cid:durableId="1805541155">
    <w:abstractNumId w:val="5"/>
  </w:num>
  <w:num w:numId="5" w16cid:durableId="69816460">
    <w:abstractNumId w:val="10"/>
  </w:num>
  <w:num w:numId="6" w16cid:durableId="846755036">
    <w:abstractNumId w:val="1"/>
  </w:num>
  <w:num w:numId="7" w16cid:durableId="1526479273">
    <w:abstractNumId w:val="4"/>
  </w:num>
  <w:num w:numId="8" w16cid:durableId="1975526142">
    <w:abstractNumId w:val="2"/>
  </w:num>
  <w:num w:numId="9" w16cid:durableId="401947543">
    <w:abstractNumId w:val="6"/>
  </w:num>
  <w:num w:numId="10" w16cid:durableId="1090466142">
    <w:abstractNumId w:val="11"/>
  </w:num>
  <w:num w:numId="11" w16cid:durableId="912739745">
    <w:abstractNumId w:val="3"/>
  </w:num>
  <w:num w:numId="12" w16cid:durableId="159724616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EB"/>
    <w:rsid w:val="000012FC"/>
    <w:rsid w:val="00003190"/>
    <w:rsid w:val="000039E4"/>
    <w:rsid w:val="000039FD"/>
    <w:rsid w:val="00003F67"/>
    <w:rsid w:val="000064CB"/>
    <w:rsid w:val="00007FEA"/>
    <w:rsid w:val="000109BE"/>
    <w:rsid w:val="00011583"/>
    <w:rsid w:val="00011E8D"/>
    <w:rsid w:val="00016077"/>
    <w:rsid w:val="000160FF"/>
    <w:rsid w:val="0001645F"/>
    <w:rsid w:val="0001742C"/>
    <w:rsid w:val="00020A0B"/>
    <w:rsid w:val="00021981"/>
    <w:rsid w:val="000250E6"/>
    <w:rsid w:val="000303C1"/>
    <w:rsid w:val="00031DC2"/>
    <w:rsid w:val="00031E3F"/>
    <w:rsid w:val="00034ADB"/>
    <w:rsid w:val="00034B54"/>
    <w:rsid w:val="00036262"/>
    <w:rsid w:val="00040E4B"/>
    <w:rsid w:val="0004214E"/>
    <w:rsid w:val="0004493C"/>
    <w:rsid w:val="000453ED"/>
    <w:rsid w:val="00046692"/>
    <w:rsid w:val="00047037"/>
    <w:rsid w:val="0004778B"/>
    <w:rsid w:val="00052F82"/>
    <w:rsid w:val="00053943"/>
    <w:rsid w:val="00053F03"/>
    <w:rsid w:val="00055909"/>
    <w:rsid w:val="000601B3"/>
    <w:rsid w:val="00060E7B"/>
    <w:rsid w:val="000612DB"/>
    <w:rsid w:val="00062B27"/>
    <w:rsid w:val="00063EB3"/>
    <w:rsid w:val="000714A0"/>
    <w:rsid w:val="00072331"/>
    <w:rsid w:val="00075B8E"/>
    <w:rsid w:val="00077BE6"/>
    <w:rsid w:val="000817EC"/>
    <w:rsid w:val="0008313F"/>
    <w:rsid w:val="0008374B"/>
    <w:rsid w:val="00085D48"/>
    <w:rsid w:val="00087983"/>
    <w:rsid w:val="00087DE4"/>
    <w:rsid w:val="00087F9A"/>
    <w:rsid w:val="00090C54"/>
    <w:rsid w:val="000916FF"/>
    <w:rsid w:val="00091F63"/>
    <w:rsid w:val="0009255D"/>
    <w:rsid w:val="000934B6"/>
    <w:rsid w:val="000935C9"/>
    <w:rsid w:val="00095DB8"/>
    <w:rsid w:val="000963A9"/>
    <w:rsid w:val="00097E0F"/>
    <w:rsid w:val="000A0201"/>
    <w:rsid w:val="000A6DB8"/>
    <w:rsid w:val="000B07C6"/>
    <w:rsid w:val="000B1824"/>
    <w:rsid w:val="000B2496"/>
    <w:rsid w:val="000B298C"/>
    <w:rsid w:val="000B559B"/>
    <w:rsid w:val="000B7710"/>
    <w:rsid w:val="000C46D2"/>
    <w:rsid w:val="000C4ACF"/>
    <w:rsid w:val="000C5D4E"/>
    <w:rsid w:val="000C60FE"/>
    <w:rsid w:val="000C68C5"/>
    <w:rsid w:val="000C7B01"/>
    <w:rsid w:val="000D0858"/>
    <w:rsid w:val="000D1556"/>
    <w:rsid w:val="000D20B3"/>
    <w:rsid w:val="000D4D3F"/>
    <w:rsid w:val="000D5312"/>
    <w:rsid w:val="000D6FF3"/>
    <w:rsid w:val="000E080B"/>
    <w:rsid w:val="000E1276"/>
    <w:rsid w:val="000E12EE"/>
    <w:rsid w:val="000E195F"/>
    <w:rsid w:val="000E1C5E"/>
    <w:rsid w:val="000E6EE0"/>
    <w:rsid w:val="000E755B"/>
    <w:rsid w:val="000E7F24"/>
    <w:rsid w:val="000F0CE3"/>
    <w:rsid w:val="000F3795"/>
    <w:rsid w:val="000F3E42"/>
    <w:rsid w:val="000F458A"/>
    <w:rsid w:val="000F612A"/>
    <w:rsid w:val="000F64C3"/>
    <w:rsid w:val="000F6659"/>
    <w:rsid w:val="000F6F12"/>
    <w:rsid w:val="00100231"/>
    <w:rsid w:val="001004DB"/>
    <w:rsid w:val="0010090F"/>
    <w:rsid w:val="00101646"/>
    <w:rsid w:val="00103650"/>
    <w:rsid w:val="00105664"/>
    <w:rsid w:val="00110F90"/>
    <w:rsid w:val="00111A51"/>
    <w:rsid w:val="001123AA"/>
    <w:rsid w:val="0011324C"/>
    <w:rsid w:val="0011437E"/>
    <w:rsid w:val="0011489C"/>
    <w:rsid w:val="0011743A"/>
    <w:rsid w:val="00123C1A"/>
    <w:rsid w:val="00126E52"/>
    <w:rsid w:val="00132294"/>
    <w:rsid w:val="00134131"/>
    <w:rsid w:val="00134D53"/>
    <w:rsid w:val="00134DAF"/>
    <w:rsid w:val="00134E35"/>
    <w:rsid w:val="00135663"/>
    <w:rsid w:val="00135777"/>
    <w:rsid w:val="00140C5F"/>
    <w:rsid w:val="00142013"/>
    <w:rsid w:val="00142ACE"/>
    <w:rsid w:val="00143118"/>
    <w:rsid w:val="00143218"/>
    <w:rsid w:val="001447F1"/>
    <w:rsid w:val="001456E8"/>
    <w:rsid w:val="001463BF"/>
    <w:rsid w:val="00146B0F"/>
    <w:rsid w:val="00150077"/>
    <w:rsid w:val="00150330"/>
    <w:rsid w:val="001504C4"/>
    <w:rsid w:val="00150AB8"/>
    <w:rsid w:val="00152895"/>
    <w:rsid w:val="00154838"/>
    <w:rsid w:val="00154BB9"/>
    <w:rsid w:val="00156883"/>
    <w:rsid w:val="00157FF7"/>
    <w:rsid w:val="001611FA"/>
    <w:rsid w:val="00162059"/>
    <w:rsid w:val="001620B9"/>
    <w:rsid w:val="00162662"/>
    <w:rsid w:val="00162B2F"/>
    <w:rsid w:val="00165EBA"/>
    <w:rsid w:val="001663F9"/>
    <w:rsid w:val="0017074F"/>
    <w:rsid w:val="0017172C"/>
    <w:rsid w:val="00171A15"/>
    <w:rsid w:val="001729A1"/>
    <w:rsid w:val="00173FAF"/>
    <w:rsid w:val="00174531"/>
    <w:rsid w:val="00174D2F"/>
    <w:rsid w:val="00174ED4"/>
    <w:rsid w:val="00175BDF"/>
    <w:rsid w:val="00175F51"/>
    <w:rsid w:val="001769AE"/>
    <w:rsid w:val="00177DCC"/>
    <w:rsid w:val="00180732"/>
    <w:rsid w:val="00182916"/>
    <w:rsid w:val="001839B3"/>
    <w:rsid w:val="00183A92"/>
    <w:rsid w:val="00183F8B"/>
    <w:rsid w:val="00184C92"/>
    <w:rsid w:val="00185190"/>
    <w:rsid w:val="00186EF3"/>
    <w:rsid w:val="001874DC"/>
    <w:rsid w:val="00190E34"/>
    <w:rsid w:val="001916A8"/>
    <w:rsid w:val="00191C7B"/>
    <w:rsid w:val="00192685"/>
    <w:rsid w:val="00192B3B"/>
    <w:rsid w:val="0019325A"/>
    <w:rsid w:val="00193B21"/>
    <w:rsid w:val="00195F39"/>
    <w:rsid w:val="00196F69"/>
    <w:rsid w:val="001A0594"/>
    <w:rsid w:val="001A10BF"/>
    <w:rsid w:val="001A1EFB"/>
    <w:rsid w:val="001A21CF"/>
    <w:rsid w:val="001A2558"/>
    <w:rsid w:val="001A32C4"/>
    <w:rsid w:val="001A5E55"/>
    <w:rsid w:val="001A71CA"/>
    <w:rsid w:val="001B0692"/>
    <w:rsid w:val="001B1154"/>
    <w:rsid w:val="001B3718"/>
    <w:rsid w:val="001B3898"/>
    <w:rsid w:val="001B4414"/>
    <w:rsid w:val="001B4DF2"/>
    <w:rsid w:val="001B7A7E"/>
    <w:rsid w:val="001B7F22"/>
    <w:rsid w:val="001C1479"/>
    <w:rsid w:val="001C2994"/>
    <w:rsid w:val="001C3E67"/>
    <w:rsid w:val="001C4006"/>
    <w:rsid w:val="001C77AC"/>
    <w:rsid w:val="001D32E1"/>
    <w:rsid w:val="001D4BE0"/>
    <w:rsid w:val="001D5ED2"/>
    <w:rsid w:val="001D6A82"/>
    <w:rsid w:val="001E0200"/>
    <w:rsid w:val="001E0480"/>
    <w:rsid w:val="001E0961"/>
    <w:rsid w:val="001E0BA5"/>
    <w:rsid w:val="001E1A11"/>
    <w:rsid w:val="001E2614"/>
    <w:rsid w:val="001E2747"/>
    <w:rsid w:val="001E35B7"/>
    <w:rsid w:val="001E6FCC"/>
    <w:rsid w:val="001E7130"/>
    <w:rsid w:val="001E720D"/>
    <w:rsid w:val="001E7E64"/>
    <w:rsid w:val="001E7E7A"/>
    <w:rsid w:val="001F06BD"/>
    <w:rsid w:val="001F1813"/>
    <w:rsid w:val="001F1D47"/>
    <w:rsid w:val="001F1FE1"/>
    <w:rsid w:val="001F34D3"/>
    <w:rsid w:val="001F3911"/>
    <w:rsid w:val="001F4633"/>
    <w:rsid w:val="001F4FF8"/>
    <w:rsid w:val="001F557B"/>
    <w:rsid w:val="001F5FAF"/>
    <w:rsid w:val="001F7FDB"/>
    <w:rsid w:val="002007A8"/>
    <w:rsid w:val="00202369"/>
    <w:rsid w:val="002037B6"/>
    <w:rsid w:val="00204647"/>
    <w:rsid w:val="0020588E"/>
    <w:rsid w:val="00207EFE"/>
    <w:rsid w:val="002101EF"/>
    <w:rsid w:val="0021051D"/>
    <w:rsid w:val="002135CD"/>
    <w:rsid w:val="00214385"/>
    <w:rsid w:val="00214690"/>
    <w:rsid w:val="00214841"/>
    <w:rsid w:val="002162AF"/>
    <w:rsid w:val="00216995"/>
    <w:rsid w:val="00216C04"/>
    <w:rsid w:val="002170B0"/>
    <w:rsid w:val="0021741E"/>
    <w:rsid w:val="00222D85"/>
    <w:rsid w:val="00223025"/>
    <w:rsid w:val="002243FD"/>
    <w:rsid w:val="00225324"/>
    <w:rsid w:val="00227F21"/>
    <w:rsid w:val="00231370"/>
    <w:rsid w:val="0023277F"/>
    <w:rsid w:val="002331D1"/>
    <w:rsid w:val="0023435B"/>
    <w:rsid w:val="0023607A"/>
    <w:rsid w:val="00236FAF"/>
    <w:rsid w:val="00243016"/>
    <w:rsid w:val="0024331B"/>
    <w:rsid w:val="00243471"/>
    <w:rsid w:val="00243D6F"/>
    <w:rsid w:val="00245B3E"/>
    <w:rsid w:val="00247DE6"/>
    <w:rsid w:val="00252A24"/>
    <w:rsid w:val="00253563"/>
    <w:rsid w:val="00255D32"/>
    <w:rsid w:val="002567C2"/>
    <w:rsid w:val="0025742A"/>
    <w:rsid w:val="002579A1"/>
    <w:rsid w:val="00262245"/>
    <w:rsid w:val="00264969"/>
    <w:rsid w:val="00264D83"/>
    <w:rsid w:val="0026680D"/>
    <w:rsid w:val="00271001"/>
    <w:rsid w:val="00275A1F"/>
    <w:rsid w:val="00275AE9"/>
    <w:rsid w:val="0027610F"/>
    <w:rsid w:val="002761C8"/>
    <w:rsid w:val="00276983"/>
    <w:rsid w:val="00277AED"/>
    <w:rsid w:val="0028027A"/>
    <w:rsid w:val="00281118"/>
    <w:rsid w:val="00282C36"/>
    <w:rsid w:val="002838E6"/>
    <w:rsid w:val="002852B4"/>
    <w:rsid w:val="00285374"/>
    <w:rsid w:val="00287EB0"/>
    <w:rsid w:val="00290BDA"/>
    <w:rsid w:val="0029280A"/>
    <w:rsid w:val="00295FF8"/>
    <w:rsid w:val="00297B16"/>
    <w:rsid w:val="002A2BBC"/>
    <w:rsid w:val="002A2C2B"/>
    <w:rsid w:val="002A3A19"/>
    <w:rsid w:val="002A3DD9"/>
    <w:rsid w:val="002A3F38"/>
    <w:rsid w:val="002A68C2"/>
    <w:rsid w:val="002A75AF"/>
    <w:rsid w:val="002B0153"/>
    <w:rsid w:val="002B5581"/>
    <w:rsid w:val="002B5618"/>
    <w:rsid w:val="002B58BA"/>
    <w:rsid w:val="002B72BC"/>
    <w:rsid w:val="002B7E36"/>
    <w:rsid w:val="002C0453"/>
    <w:rsid w:val="002C46EE"/>
    <w:rsid w:val="002C70CD"/>
    <w:rsid w:val="002C78A1"/>
    <w:rsid w:val="002D050E"/>
    <w:rsid w:val="002D17C4"/>
    <w:rsid w:val="002D38CA"/>
    <w:rsid w:val="002D4388"/>
    <w:rsid w:val="002D4FA7"/>
    <w:rsid w:val="002D63D5"/>
    <w:rsid w:val="002D7801"/>
    <w:rsid w:val="002D7A87"/>
    <w:rsid w:val="002E210C"/>
    <w:rsid w:val="002E2A57"/>
    <w:rsid w:val="002E467E"/>
    <w:rsid w:val="002E4B32"/>
    <w:rsid w:val="002E51BE"/>
    <w:rsid w:val="002E6613"/>
    <w:rsid w:val="002F1333"/>
    <w:rsid w:val="002F24C4"/>
    <w:rsid w:val="002F28DF"/>
    <w:rsid w:val="002F517A"/>
    <w:rsid w:val="002F73AA"/>
    <w:rsid w:val="002F759A"/>
    <w:rsid w:val="00302C65"/>
    <w:rsid w:val="00302EEB"/>
    <w:rsid w:val="003036DE"/>
    <w:rsid w:val="00303A42"/>
    <w:rsid w:val="00303B41"/>
    <w:rsid w:val="00304777"/>
    <w:rsid w:val="003064C4"/>
    <w:rsid w:val="00306FB6"/>
    <w:rsid w:val="00307D6C"/>
    <w:rsid w:val="00313690"/>
    <w:rsid w:val="00315060"/>
    <w:rsid w:val="0031778F"/>
    <w:rsid w:val="0032041C"/>
    <w:rsid w:val="00323CDC"/>
    <w:rsid w:val="00323D2C"/>
    <w:rsid w:val="00324E74"/>
    <w:rsid w:val="003256A9"/>
    <w:rsid w:val="00326A88"/>
    <w:rsid w:val="003300A8"/>
    <w:rsid w:val="00331417"/>
    <w:rsid w:val="0033249C"/>
    <w:rsid w:val="00332915"/>
    <w:rsid w:val="00332F33"/>
    <w:rsid w:val="00334586"/>
    <w:rsid w:val="00335B55"/>
    <w:rsid w:val="00336844"/>
    <w:rsid w:val="00337872"/>
    <w:rsid w:val="00340989"/>
    <w:rsid w:val="00345DC7"/>
    <w:rsid w:val="00345FE6"/>
    <w:rsid w:val="0034616A"/>
    <w:rsid w:val="00346C30"/>
    <w:rsid w:val="00346D51"/>
    <w:rsid w:val="003477C8"/>
    <w:rsid w:val="00350915"/>
    <w:rsid w:val="00350DE2"/>
    <w:rsid w:val="00351D0B"/>
    <w:rsid w:val="003559E2"/>
    <w:rsid w:val="00356DFA"/>
    <w:rsid w:val="003573A7"/>
    <w:rsid w:val="0036068E"/>
    <w:rsid w:val="00363736"/>
    <w:rsid w:val="00364665"/>
    <w:rsid w:val="0037051F"/>
    <w:rsid w:val="00371B69"/>
    <w:rsid w:val="00372879"/>
    <w:rsid w:val="00376F24"/>
    <w:rsid w:val="00380915"/>
    <w:rsid w:val="00380997"/>
    <w:rsid w:val="003814EC"/>
    <w:rsid w:val="003814F8"/>
    <w:rsid w:val="00382C7B"/>
    <w:rsid w:val="00382DF7"/>
    <w:rsid w:val="003841AE"/>
    <w:rsid w:val="003841BE"/>
    <w:rsid w:val="003857F6"/>
    <w:rsid w:val="0038588C"/>
    <w:rsid w:val="00386013"/>
    <w:rsid w:val="0038612A"/>
    <w:rsid w:val="00386E53"/>
    <w:rsid w:val="0039474D"/>
    <w:rsid w:val="00397B7B"/>
    <w:rsid w:val="003A0685"/>
    <w:rsid w:val="003A0AA3"/>
    <w:rsid w:val="003A0BB7"/>
    <w:rsid w:val="003A36C9"/>
    <w:rsid w:val="003A3C44"/>
    <w:rsid w:val="003A4283"/>
    <w:rsid w:val="003A56C5"/>
    <w:rsid w:val="003A6251"/>
    <w:rsid w:val="003A6466"/>
    <w:rsid w:val="003A64A9"/>
    <w:rsid w:val="003A6A4D"/>
    <w:rsid w:val="003A6F87"/>
    <w:rsid w:val="003A70FD"/>
    <w:rsid w:val="003A7FE4"/>
    <w:rsid w:val="003B05B9"/>
    <w:rsid w:val="003B10EB"/>
    <w:rsid w:val="003B3F6F"/>
    <w:rsid w:val="003B4AE3"/>
    <w:rsid w:val="003B5729"/>
    <w:rsid w:val="003B6257"/>
    <w:rsid w:val="003B6403"/>
    <w:rsid w:val="003B69CA"/>
    <w:rsid w:val="003B6EB4"/>
    <w:rsid w:val="003B73F4"/>
    <w:rsid w:val="003C20EE"/>
    <w:rsid w:val="003C3102"/>
    <w:rsid w:val="003C3358"/>
    <w:rsid w:val="003C4345"/>
    <w:rsid w:val="003C5D4A"/>
    <w:rsid w:val="003C6C6C"/>
    <w:rsid w:val="003C6D07"/>
    <w:rsid w:val="003C704C"/>
    <w:rsid w:val="003C79BD"/>
    <w:rsid w:val="003D3041"/>
    <w:rsid w:val="003D3E67"/>
    <w:rsid w:val="003E2264"/>
    <w:rsid w:val="003E35FC"/>
    <w:rsid w:val="003E3767"/>
    <w:rsid w:val="003E46AA"/>
    <w:rsid w:val="003E4A5E"/>
    <w:rsid w:val="003F1007"/>
    <w:rsid w:val="003F19A5"/>
    <w:rsid w:val="003F3520"/>
    <w:rsid w:val="003F382D"/>
    <w:rsid w:val="003F4172"/>
    <w:rsid w:val="003F638A"/>
    <w:rsid w:val="003F66A6"/>
    <w:rsid w:val="003F7960"/>
    <w:rsid w:val="00401951"/>
    <w:rsid w:val="00401B7A"/>
    <w:rsid w:val="00401D02"/>
    <w:rsid w:val="00402F4B"/>
    <w:rsid w:val="00410ADF"/>
    <w:rsid w:val="00411427"/>
    <w:rsid w:val="00411855"/>
    <w:rsid w:val="00411C0B"/>
    <w:rsid w:val="00411D03"/>
    <w:rsid w:val="00411D22"/>
    <w:rsid w:val="00411FF2"/>
    <w:rsid w:val="00412DD0"/>
    <w:rsid w:val="00415497"/>
    <w:rsid w:val="00415A85"/>
    <w:rsid w:val="00417441"/>
    <w:rsid w:val="00417973"/>
    <w:rsid w:val="00420B04"/>
    <w:rsid w:val="00421245"/>
    <w:rsid w:val="004224F4"/>
    <w:rsid w:val="00422A3E"/>
    <w:rsid w:val="00424A3C"/>
    <w:rsid w:val="0042520F"/>
    <w:rsid w:val="004256F4"/>
    <w:rsid w:val="00425CF6"/>
    <w:rsid w:val="00426277"/>
    <w:rsid w:val="004274A4"/>
    <w:rsid w:val="00430EFE"/>
    <w:rsid w:val="004335C3"/>
    <w:rsid w:val="004405CF"/>
    <w:rsid w:val="00440908"/>
    <w:rsid w:val="00441325"/>
    <w:rsid w:val="00443244"/>
    <w:rsid w:val="00443262"/>
    <w:rsid w:val="00444620"/>
    <w:rsid w:val="004449BE"/>
    <w:rsid w:val="00453E01"/>
    <w:rsid w:val="004547C7"/>
    <w:rsid w:val="00456592"/>
    <w:rsid w:val="0045667A"/>
    <w:rsid w:val="0045691B"/>
    <w:rsid w:val="0046374E"/>
    <w:rsid w:val="0046401F"/>
    <w:rsid w:val="0046428E"/>
    <w:rsid w:val="00465071"/>
    <w:rsid w:val="00465546"/>
    <w:rsid w:val="00465B63"/>
    <w:rsid w:val="0046679B"/>
    <w:rsid w:val="00470F5E"/>
    <w:rsid w:val="00471217"/>
    <w:rsid w:val="00471A60"/>
    <w:rsid w:val="00472B91"/>
    <w:rsid w:val="004746CA"/>
    <w:rsid w:val="00475691"/>
    <w:rsid w:val="0047728A"/>
    <w:rsid w:val="0048047A"/>
    <w:rsid w:val="00481A4E"/>
    <w:rsid w:val="00482E77"/>
    <w:rsid w:val="00484A54"/>
    <w:rsid w:val="00485302"/>
    <w:rsid w:val="00485EC6"/>
    <w:rsid w:val="00486C5C"/>
    <w:rsid w:val="00486F48"/>
    <w:rsid w:val="004877AB"/>
    <w:rsid w:val="00490005"/>
    <w:rsid w:val="00490CF7"/>
    <w:rsid w:val="00491E99"/>
    <w:rsid w:val="004920AD"/>
    <w:rsid w:val="004929D6"/>
    <w:rsid w:val="004929F8"/>
    <w:rsid w:val="00492B31"/>
    <w:rsid w:val="00495ACC"/>
    <w:rsid w:val="004A0602"/>
    <w:rsid w:val="004A1477"/>
    <w:rsid w:val="004A3C2F"/>
    <w:rsid w:val="004A4EB2"/>
    <w:rsid w:val="004A501D"/>
    <w:rsid w:val="004A51D6"/>
    <w:rsid w:val="004A5BB9"/>
    <w:rsid w:val="004A6A5E"/>
    <w:rsid w:val="004A7CEB"/>
    <w:rsid w:val="004B112F"/>
    <w:rsid w:val="004B1B5D"/>
    <w:rsid w:val="004B4DFC"/>
    <w:rsid w:val="004B5933"/>
    <w:rsid w:val="004B795F"/>
    <w:rsid w:val="004C096C"/>
    <w:rsid w:val="004C626A"/>
    <w:rsid w:val="004C70D4"/>
    <w:rsid w:val="004C7480"/>
    <w:rsid w:val="004C7D26"/>
    <w:rsid w:val="004D3C28"/>
    <w:rsid w:val="004D4A4D"/>
    <w:rsid w:val="004D51FB"/>
    <w:rsid w:val="004D5983"/>
    <w:rsid w:val="004D6873"/>
    <w:rsid w:val="004D6F01"/>
    <w:rsid w:val="004D70A6"/>
    <w:rsid w:val="004E05D5"/>
    <w:rsid w:val="004E05F4"/>
    <w:rsid w:val="004E3F65"/>
    <w:rsid w:val="004E5FEE"/>
    <w:rsid w:val="004E77D9"/>
    <w:rsid w:val="004E7C36"/>
    <w:rsid w:val="004E7F9E"/>
    <w:rsid w:val="004F0790"/>
    <w:rsid w:val="004F49E1"/>
    <w:rsid w:val="004F5B0C"/>
    <w:rsid w:val="00502593"/>
    <w:rsid w:val="0050287B"/>
    <w:rsid w:val="0051020A"/>
    <w:rsid w:val="00510868"/>
    <w:rsid w:val="005120D3"/>
    <w:rsid w:val="00513366"/>
    <w:rsid w:val="00513958"/>
    <w:rsid w:val="00517532"/>
    <w:rsid w:val="00520A0D"/>
    <w:rsid w:val="005219F9"/>
    <w:rsid w:val="00523C5E"/>
    <w:rsid w:val="00523D96"/>
    <w:rsid w:val="00524687"/>
    <w:rsid w:val="0052654F"/>
    <w:rsid w:val="00526AAB"/>
    <w:rsid w:val="005278CD"/>
    <w:rsid w:val="00527DF9"/>
    <w:rsid w:val="00533352"/>
    <w:rsid w:val="00535B07"/>
    <w:rsid w:val="00540649"/>
    <w:rsid w:val="00540E1E"/>
    <w:rsid w:val="00541262"/>
    <w:rsid w:val="00550315"/>
    <w:rsid w:val="00552345"/>
    <w:rsid w:val="0055332A"/>
    <w:rsid w:val="00554C39"/>
    <w:rsid w:val="00555431"/>
    <w:rsid w:val="00556AD1"/>
    <w:rsid w:val="00562910"/>
    <w:rsid w:val="005630B3"/>
    <w:rsid w:val="00563380"/>
    <w:rsid w:val="00565905"/>
    <w:rsid w:val="00565DBA"/>
    <w:rsid w:val="00565EA5"/>
    <w:rsid w:val="00571387"/>
    <w:rsid w:val="0057172F"/>
    <w:rsid w:val="005723E1"/>
    <w:rsid w:val="00573522"/>
    <w:rsid w:val="00573813"/>
    <w:rsid w:val="00582634"/>
    <w:rsid w:val="00582A5D"/>
    <w:rsid w:val="00582C03"/>
    <w:rsid w:val="0058509E"/>
    <w:rsid w:val="00585412"/>
    <w:rsid w:val="0059068D"/>
    <w:rsid w:val="00590BE9"/>
    <w:rsid w:val="005917D9"/>
    <w:rsid w:val="005924CC"/>
    <w:rsid w:val="00596209"/>
    <w:rsid w:val="005975AF"/>
    <w:rsid w:val="005A1CBB"/>
    <w:rsid w:val="005A2EE1"/>
    <w:rsid w:val="005A30D2"/>
    <w:rsid w:val="005A5EB3"/>
    <w:rsid w:val="005B00F6"/>
    <w:rsid w:val="005B0271"/>
    <w:rsid w:val="005B1B7A"/>
    <w:rsid w:val="005B1EE5"/>
    <w:rsid w:val="005B50FC"/>
    <w:rsid w:val="005B5909"/>
    <w:rsid w:val="005B7B0B"/>
    <w:rsid w:val="005C136F"/>
    <w:rsid w:val="005C379E"/>
    <w:rsid w:val="005C3AF1"/>
    <w:rsid w:val="005C3EC0"/>
    <w:rsid w:val="005C5B9E"/>
    <w:rsid w:val="005C5C95"/>
    <w:rsid w:val="005D179F"/>
    <w:rsid w:val="005D2189"/>
    <w:rsid w:val="005D2865"/>
    <w:rsid w:val="005D2D39"/>
    <w:rsid w:val="005D33B1"/>
    <w:rsid w:val="005D4BA4"/>
    <w:rsid w:val="005D79FF"/>
    <w:rsid w:val="005E1D80"/>
    <w:rsid w:val="005E228F"/>
    <w:rsid w:val="005E375F"/>
    <w:rsid w:val="005E5057"/>
    <w:rsid w:val="005E5645"/>
    <w:rsid w:val="005E671F"/>
    <w:rsid w:val="005E6A9D"/>
    <w:rsid w:val="005E7514"/>
    <w:rsid w:val="005E760B"/>
    <w:rsid w:val="005F05B2"/>
    <w:rsid w:val="005F2A01"/>
    <w:rsid w:val="005F38BD"/>
    <w:rsid w:val="005F412D"/>
    <w:rsid w:val="005F4B00"/>
    <w:rsid w:val="005F5A9D"/>
    <w:rsid w:val="005F657F"/>
    <w:rsid w:val="00600273"/>
    <w:rsid w:val="00600622"/>
    <w:rsid w:val="00600A36"/>
    <w:rsid w:val="00600A4D"/>
    <w:rsid w:val="00600FD2"/>
    <w:rsid w:val="0060127C"/>
    <w:rsid w:val="00602D64"/>
    <w:rsid w:val="00604FDB"/>
    <w:rsid w:val="00607223"/>
    <w:rsid w:val="0060799E"/>
    <w:rsid w:val="00613446"/>
    <w:rsid w:val="00613CED"/>
    <w:rsid w:val="006140C0"/>
    <w:rsid w:val="006143F1"/>
    <w:rsid w:val="00615987"/>
    <w:rsid w:val="006159CA"/>
    <w:rsid w:val="00616D06"/>
    <w:rsid w:val="006178DC"/>
    <w:rsid w:val="006202F0"/>
    <w:rsid w:val="0062332B"/>
    <w:rsid w:val="00624120"/>
    <w:rsid w:val="00626E7E"/>
    <w:rsid w:val="006278E1"/>
    <w:rsid w:val="00627A42"/>
    <w:rsid w:val="006304DF"/>
    <w:rsid w:val="006306A0"/>
    <w:rsid w:val="0063109F"/>
    <w:rsid w:val="00631CAE"/>
    <w:rsid w:val="00633726"/>
    <w:rsid w:val="006345D9"/>
    <w:rsid w:val="006346A2"/>
    <w:rsid w:val="00634B09"/>
    <w:rsid w:val="00640967"/>
    <w:rsid w:val="0064139C"/>
    <w:rsid w:val="006425C2"/>
    <w:rsid w:val="00643A44"/>
    <w:rsid w:val="0064409D"/>
    <w:rsid w:val="00651DAD"/>
    <w:rsid w:val="0065203E"/>
    <w:rsid w:val="00652C27"/>
    <w:rsid w:val="00653249"/>
    <w:rsid w:val="0065416D"/>
    <w:rsid w:val="00660ECD"/>
    <w:rsid w:val="00661912"/>
    <w:rsid w:val="006620F3"/>
    <w:rsid w:val="006623B6"/>
    <w:rsid w:val="006650EE"/>
    <w:rsid w:val="00665477"/>
    <w:rsid w:val="006660C4"/>
    <w:rsid w:val="00667369"/>
    <w:rsid w:val="00667482"/>
    <w:rsid w:val="00672758"/>
    <w:rsid w:val="0067541F"/>
    <w:rsid w:val="0067630F"/>
    <w:rsid w:val="00677CBF"/>
    <w:rsid w:val="006826F4"/>
    <w:rsid w:val="0068276E"/>
    <w:rsid w:val="00683B6B"/>
    <w:rsid w:val="00683EEE"/>
    <w:rsid w:val="00685D85"/>
    <w:rsid w:val="00690D8D"/>
    <w:rsid w:val="00690DA5"/>
    <w:rsid w:val="0069127B"/>
    <w:rsid w:val="00692A6B"/>
    <w:rsid w:val="00697040"/>
    <w:rsid w:val="006A1456"/>
    <w:rsid w:val="006A2185"/>
    <w:rsid w:val="006A27A6"/>
    <w:rsid w:val="006A56CD"/>
    <w:rsid w:val="006A6F22"/>
    <w:rsid w:val="006A74FF"/>
    <w:rsid w:val="006A751D"/>
    <w:rsid w:val="006B12A4"/>
    <w:rsid w:val="006B1BF1"/>
    <w:rsid w:val="006B1E55"/>
    <w:rsid w:val="006C0398"/>
    <w:rsid w:val="006C0BF8"/>
    <w:rsid w:val="006C24C2"/>
    <w:rsid w:val="006C27CB"/>
    <w:rsid w:val="006C3971"/>
    <w:rsid w:val="006C5E33"/>
    <w:rsid w:val="006C7425"/>
    <w:rsid w:val="006D0290"/>
    <w:rsid w:val="006D0455"/>
    <w:rsid w:val="006D09EC"/>
    <w:rsid w:val="006D20EB"/>
    <w:rsid w:val="006D4949"/>
    <w:rsid w:val="006D4A96"/>
    <w:rsid w:val="006D5AC2"/>
    <w:rsid w:val="006E395D"/>
    <w:rsid w:val="006E3D0D"/>
    <w:rsid w:val="006E6205"/>
    <w:rsid w:val="006E66E3"/>
    <w:rsid w:val="006E6741"/>
    <w:rsid w:val="006E778E"/>
    <w:rsid w:val="006E784F"/>
    <w:rsid w:val="006F0501"/>
    <w:rsid w:val="006F0D3A"/>
    <w:rsid w:val="006F0E86"/>
    <w:rsid w:val="006F0EF2"/>
    <w:rsid w:val="006F1CB3"/>
    <w:rsid w:val="006F4136"/>
    <w:rsid w:val="006F520B"/>
    <w:rsid w:val="006F5BBF"/>
    <w:rsid w:val="006F6FC5"/>
    <w:rsid w:val="00700AE2"/>
    <w:rsid w:val="00701352"/>
    <w:rsid w:val="00705BB8"/>
    <w:rsid w:val="00706B3D"/>
    <w:rsid w:val="0071163F"/>
    <w:rsid w:val="007121B1"/>
    <w:rsid w:val="00712603"/>
    <w:rsid w:val="00715F82"/>
    <w:rsid w:val="00716740"/>
    <w:rsid w:val="0072272C"/>
    <w:rsid w:val="0072400A"/>
    <w:rsid w:val="0072553E"/>
    <w:rsid w:val="007269B6"/>
    <w:rsid w:val="00727395"/>
    <w:rsid w:val="007277A8"/>
    <w:rsid w:val="00727848"/>
    <w:rsid w:val="00727DC5"/>
    <w:rsid w:val="0073009E"/>
    <w:rsid w:val="007308E3"/>
    <w:rsid w:val="00732E07"/>
    <w:rsid w:val="00733534"/>
    <w:rsid w:val="0073496C"/>
    <w:rsid w:val="0073735F"/>
    <w:rsid w:val="00740063"/>
    <w:rsid w:val="00740880"/>
    <w:rsid w:val="007420D4"/>
    <w:rsid w:val="00742701"/>
    <w:rsid w:val="0074368A"/>
    <w:rsid w:val="00743EF0"/>
    <w:rsid w:val="00744F76"/>
    <w:rsid w:val="007456BA"/>
    <w:rsid w:val="0074669D"/>
    <w:rsid w:val="00747D63"/>
    <w:rsid w:val="0075014E"/>
    <w:rsid w:val="00750722"/>
    <w:rsid w:val="007520D7"/>
    <w:rsid w:val="007522F8"/>
    <w:rsid w:val="00752C7D"/>
    <w:rsid w:val="00753B29"/>
    <w:rsid w:val="00753EFD"/>
    <w:rsid w:val="00755235"/>
    <w:rsid w:val="0075613D"/>
    <w:rsid w:val="00756B30"/>
    <w:rsid w:val="00756B96"/>
    <w:rsid w:val="00761862"/>
    <w:rsid w:val="00765200"/>
    <w:rsid w:val="00767881"/>
    <w:rsid w:val="007732D5"/>
    <w:rsid w:val="0077416D"/>
    <w:rsid w:val="00774531"/>
    <w:rsid w:val="00774BFA"/>
    <w:rsid w:val="00774D65"/>
    <w:rsid w:val="00776A20"/>
    <w:rsid w:val="007807B3"/>
    <w:rsid w:val="00780C79"/>
    <w:rsid w:val="0078295B"/>
    <w:rsid w:val="00783571"/>
    <w:rsid w:val="00783D0C"/>
    <w:rsid w:val="00784D7F"/>
    <w:rsid w:val="00785297"/>
    <w:rsid w:val="00785455"/>
    <w:rsid w:val="00785BD5"/>
    <w:rsid w:val="00785F6A"/>
    <w:rsid w:val="00786660"/>
    <w:rsid w:val="0078793A"/>
    <w:rsid w:val="007900AA"/>
    <w:rsid w:val="0079029E"/>
    <w:rsid w:val="007922F5"/>
    <w:rsid w:val="0079472A"/>
    <w:rsid w:val="00794CDB"/>
    <w:rsid w:val="007951DE"/>
    <w:rsid w:val="0079593F"/>
    <w:rsid w:val="007972E0"/>
    <w:rsid w:val="00797D1F"/>
    <w:rsid w:val="007A08ED"/>
    <w:rsid w:val="007A1390"/>
    <w:rsid w:val="007A2D18"/>
    <w:rsid w:val="007A3F29"/>
    <w:rsid w:val="007A7524"/>
    <w:rsid w:val="007A7C38"/>
    <w:rsid w:val="007B10DE"/>
    <w:rsid w:val="007B25E2"/>
    <w:rsid w:val="007B2626"/>
    <w:rsid w:val="007B2BB6"/>
    <w:rsid w:val="007B4510"/>
    <w:rsid w:val="007B473F"/>
    <w:rsid w:val="007B6031"/>
    <w:rsid w:val="007B77E9"/>
    <w:rsid w:val="007C0968"/>
    <w:rsid w:val="007C38CE"/>
    <w:rsid w:val="007D0506"/>
    <w:rsid w:val="007D0C20"/>
    <w:rsid w:val="007D16BC"/>
    <w:rsid w:val="007D17DF"/>
    <w:rsid w:val="007D2E0C"/>
    <w:rsid w:val="007D57F9"/>
    <w:rsid w:val="007E32AD"/>
    <w:rsid w:val="007E3565"/>
    <w:rsid w:val="007E41E8"/>
    <w:rsid w:val="007E53B0"/>
    <w:rsid w:val="007E55FE"/>
    <w:rsid w:val="007E5E9C"/>
    <w:rsid w:val="007E6874"/>
    <w:rsid w:val="007E6907"/>
    <w:rsid w:val="007F0E79"/>
    <w:rsid w:val="007F178E"/>
    <w:rsid w:val="007F2737"/>
    <w:rsid w:val="007F3D5B"/>
    <w:rsid w:val="007F4F6B"/>
    <w:rsid w:val="007F5E12"/>
    <w:rsid w:val="007F72C0"/>
    <w:rsid w:val="007F7E06"/>
    <w:rsid w:val="0080078D"/>
    <w:rsid w:val="00801473"/>
    <w:rsid w:val="00803397"/>
    <w:rsid w:val="00803E42"/>
    <w:rsid w:val="00804B52"/>
    <w:rsid w:val="00804D0A"/>
    <w:rsid w:val="00804DDE"/>
    <w:rsid w:val="0080621A"/>
    <w:rsid w:val="00807199"/>
    <w:rsid w:val="0080791A"/>
    <w:rsid w:val="0081068C"/>
    <w:rsid w:val="00814575"/>
    <w:rsid w:val="00814B95"/>
    <w:rsid w:val="008201AF"/>
    <w:rsid w:val="00820292"/>
    <w:rsid w:val="00820F06"/>
    <w:rsid w:val="0082104C"/>
    <w:rsid w:val="00822ADC"/>
    <w:rsid w:val="0082390F"/>
    <w:rsid w:val="00824845"/>
    <w:rsid w:val="00824C5D"/>
    <w:rsid w:val="0082770D"/>
    <w:rsid w:val="008313E0"/>
    <w:rsid w:val="00832B84"/>
    <w:rsid w:val="0083594A"/>
    <w:rsid w:val="008402C5"/>
    <w:rsid w:val="0084075B"/>
    <w:rsid w:val="008447B6"/>
    <w:rsid w:val="008461C6"/>
    <w:rsid w:val="00846BDB"/>
    <w:rsid w:val="00846C58"/>
    <w:rsid w:val="008473D7"/>
    <w:rsid w:val="0085291B"/>
    <w:rsid w:val="0085328B"/>
    <w:rsid w:val="0085328F"/>
    <w:rsid w:val="00855884"/>
    <w:rsid w:val="00856B85"/>
    <w:rsid w:val="00856FCE"/>
    <w:rsid w:val="008577E7"/>
    <w:rsid w:val="0086477D"/>
    <w:rsid w:val="00875E7A"/>
    <w:rsid w:val="008761A2"/>
    <w:rsid w:val="008774AC"/>
    <w:rsid w:val="00882468"/>
    <w:rsid w:val="00882E7A"/>
    <w:rsid w:val="00882F6E"/>
    <w:rsid w:val="00883B20"/>
    <w:rsid w:val="00883C36"/>
    <w:rsid w:val="008856E1"/>
    <w:rsid w:val="00886F00"/>
    <w:rsid w:val="008913EC"/>
    <w:rsid w:val="00891F63"/>
    <w:rsid w:val="00892903"/>
    <w:rsid w:val="008930E9"/>
    <w:rsid w:val="00893A99"/>
    <w:rsid w:val="008979BA"/>
    <w:rsid w:val="008A0604"/>
    <w:rsid w:val="008A2907"/>
    <w:rsid w:val="008A2F1C"/>
    <w:rsid w:val="008A3A22"/>
    <w:rsid w:val="008A406D"/>
    <w:rsid w:val="008A47C1"/>
    <w:rsid w:val="008A5CA8"/>
    <w:rsid w:val="008A5F1C"/>
    <w:rsid w:val="008B0118"/>
    <w:rsid w:val="008B465F"/>
    <w:rsid w:val="008B514B"/>
    <w:rsid w:val="008B6E28"/>
    <w:rsid w:val="008C0C0F"/>
    <w:rsid w:val="008C116A"/>
    <w:rsid w:val="008C11A9"/>
    <w:rsid w:val="008C2D53"/>
    <w:rsid w:val="008C3452"/>
    <w:rsid w:val="008C4538"/>
    <w:rsid w:val="008C459B"/>
    <w:rsid w:val="008C5363"/>
    <w:rsid w:val="008C547B"/>
    <w:rsid w:val="008C7C5D"/>
    <w:rsid w:val="008D1B48"/>
    <w:rsid w:val="008D1DF6"/>
    <w:rsid w:val="008D2DDA"/>
    <w:rsid w:val="008D602B"/>
    <w:rsid w:val="008D6B52"/>
    <w:rsid w:val="008E32DD"/>
    <w:rsid w:val="008E34B1"/>
    <w:rsid w:val="008E5648"/>
    <w:rsid w:val="008E7423"/>
    <w:rsid w:val="008F0557"/>
    <w:rsid w:val="008F1C8D"/>
    <w:rsid w:val="008F2B84"/>
    <w:rsid w:val="008F2C21"/>
    <w:rsid w:val="008F34D7"/>
    <w:rsid w:val="008F5DE1"/>
    <w:rsid w:val="008F68C5"/>
    <w:rsid w:val="008F7794"/>
    <w:rsid w:val="00900B20"/>
    <w:rsid w:val="00900D1F"/>
    <w:rsid w:val="00902961"/>
    <w:rsid w:val="009040FC"/>
    <w:rsid w:val="009049B4"/>
    <w:rsid w:val="00904CEB"/>
    <w:rsid w:val="00905E1C"/>
    <w:rsid w:val="009061D0"/>
    <w:rsid w:val="00910259"/>
    <w:rsid w:val="009118B7"/>
    <w:rsid w:val="00913577"/>
    <w:rsid w:val="00914D04"/>
    <w:rsid w:val="00914E09"/>
    <w:rsid w:val="009162C8"/>
    <w:rsid w:val="009167F5"/>
    <w:rsid w:val="00916D02"/>
    <w:rsid w:val="00921581"/>
    <w:rsid w:val="00923D78"/>
    <w:rsid w:val="00924646"/>
    <w:rsid w:val="00924B97"/>
    <w:rsid w:val="00925ADE"/>
    <w:rsid w:val="009266CA"/>
    <w:rsid w:val="00927F64"/>
    <w:rsid w:val="009302F8"/>
    <w:rsid w:val="00931AAA"/>
    <w:rsid w:val="00931E45"/>
    <w:rsid w:val="00932A32"/>
    <w:rsid w:val="00935F7B"/>
    <w:rsid w:val="00935FC2"/>
    <w:rsid w:val="009372DB"/>
    <w:rsid w:val="00937996"/>
    <w:rsid w:val="00937E0C"/>
    <w:rsid w:val="009409B0"/>
    <w:rsid w:val="0094245D"/>
    <w:rsid w:val="00943D72"/>
    <w:rsid w:val="009457B9"/>
    <w:rsid w:val="00946501"/>
    <w:rsid w:val="0094653E"/>
    <w:rsid w:val="00947F97"/>
    <w:rsid w:val="00951562"/>
    <w:rsid w:val="009531FB"/>
    <w:rsid w:val="0095440A"/>
    <w:rsid w:val="00956C52"/>
    <w:rsid w:val="009573AD"/>
    <w:rsid w:val="0096057A"/>
    <w:rsid w:val="00963983"/>
    <w:rsid w:val="009652B7"/>
    <w:rsid w:val="00965F18"/>
    <w:rsid w:val="0096618C"/>
    <w:rsid w:val="00966A1C"/>
    <w:rsid w:val="00967572"/>
    <w:rsid w:val="0097188E"/>
    <w:rsid w:val="00972D75"/>
    <w:rsid w:val="009743EF"/>
    <w:rsid w:val="00976516"/>
    <w:rsid w:val="00976BD3"/>
    <w:rsid w:val="00977C4A"/>
    <w:rsid w:val="009808FD"/>
    <w:rsid w:val="00980A42"/>
    <w:rsid w:val="00981492"/>
    <w:rsid w:val="00981852"/>
    <w:rsid w:val="00983767"/>
    <w:rsid w:val="009963B9"/>
    <w:rsid w:val="009A051B"/>
    <w:rsid w:val="009A05DC"/>
    <w:rsid w:val="009A0C9A"/>
    <w:rsid w:val="009A0DDA"/>
    <w:rsid w:val="009A5329"/>
    <w:rsid w:val="009A66B4"/>
    <w:rsid w:val="009B2785"/>
    <w:rsid w:val="009B2B79"/>
    <w:rsid w:val="009B4ABA"/>
    <w:rsid w:val="009B5944"/>
    <w:rsid w:val="009B5C8C"/>
    <w:rsid w:val="009B74D5"/>
    <w:rsid w:val="009C2743"/>
    <w:rsid w:val="009C2F0C"/>
    <w:rsid w:val="009C4C72"/>
    <w:rsid w:val="009C5BCD"/>
    <w:rsid w:val="009C645D"/>
    <w:rsid w:val="009D12CD"/>
    <w:rsid w:val="009D14B2"/>
    <w:rsid w:val="009D1DEC"/>
    <w:rsid w:val="009D38C6"/>
    <w:rsid w:val="009D4863"/>
    <w:rsid w:val="009E3A15"/>
    <w:rsid w:val="009E3AF0"/>
    <w:rsid w:val="009E451F"/>
    <w:rsid w:val="009E5BEF"/>
    <w:rsid w:val="009E663A"/>
    <w:rsid w:val="009E7265"/>
    <w:rsid w:val="009E729A"/>
    <w:rsid w:val="009E7A81"/>
    <w:rsid w:val="009F02A1"/>
    <w:rsid w:val="009F1298"/>
    <w:rsid w:val="009F138C"/>
    <w:rsid w:val="009F184B"/>
    <w:rsid w:val="009F1A41"/>
    <w:rsid w:val="009F2341"/>
    <w:rsid w:val="009F2CF8"/>
    <w:rsid w:val="009F4361"/>
    <w:rsid w:val="00A0191D"/>
    <w:rsid w:val="00A01962"/>
    <w:rsid w:val="00A02E33"/>
    <w:rsid w:val="00A040D5"/>
    <w:rsid w:val="00A04F7A"/>
    <w:rsid w:val="00A10DEB"/>
    <w:rsid w:val="00A12425"/>
    <w:rsid w:val="00A12657"/>
    <w:rsid w:val="00A17C81"/>
    <w:rsid w:val="00A20729"/>
    <w:rsid w:val="00A211B6"/>
    <w:rsid w:val="00A21B4E"/>
    <w:rsid w:val="00A21CC9"/>
    <w:rsid w:val="00A22D26"/>
    <w:rsid w:val="00A24640"/>
    <w:rsid w:val="00A24925"/>
    <w:rsid w:val="00A25B09"/>
    <w:rsid w:val="00A25B69"/>
    <w:rsid w:val="00A311DC"/>
    <w:rsid w:val="00A32DA3"/>
    <w:rsid w:val="00A32EFD"/>
    <w:rsid w:val="00A32F30"/>
    <w:rsid w:val="00A37EBA"/>
    <w:rsid w:val="00A37FA9"/>
    <w:rsid w:val="00A41388"/>
    <w:rsid w:val="00A4197F"/>
    <w:rsid w:val="00A430C0"/>
    <w:rsid w:val="00A43A90"/>
    <w:rsid w:val="00A44836"/>
    <w:rsid w:val="00A47084"/>
    <w:rsid w:val="00A4792F"/>
    <w:rsid w:val="00A47C62"/>
    <w:rsid w:val="00A50E76"/>
    <w:rsid w:val="00A520D8"/>
    <w:rsid w:val="00A559EA"/>
    <w:rsid w:val="00A57329"/>
    <w:rsid w:val="00A60240"/>
    <w:rsid w:val="00A60A42"/>
    <w:rsid w:val="00A6191B"/>
    <w:rsid w:val="00A62FE2"/>
    <w:rsid w:val="00A63CE3"/>
    <w:rsid w:val="00A6401D"/>
    <w:rsid w:val="00A65593"/>
    <w:rsid w:val="00A661FB"/>
    <w:rsid w:val="00A6797E"/>
    <w:rsid w:val="00A70844"/>
    <w:rsid w:val="00A74789"/>
    <w:rsid w:val="00A74A4C"/>
    <w:rsid w:val="00A773EB"/>
    <w:rsid w:val="00A80013"/>
    <w:rsid w:val="00A80E8A"/>
    <w:rsid w:val="00A936E6"/>
    <w:rsid w:val="00A94780"/>
    <w:rsid w:val="00A961ED"/>
    <w:rsid w:val="00AA0FEC"/>
    <w:rsid w:val="00AA1A37"/>
    <w:rsid w:val="00AA33CB"/>
    <w:rsid w:val="00AA3CC2"/>
    <w:rsid w:val="00AA4EC4"/>
    <w:rsid w:val="00AA5059"/>
    <w:rsid w:val="00AA537D"/>
    <w:rsid w:val="00AA5C76"/>
    <w:rsid w:val="00AA5DB9"/>
    <w:rsid w:val="00AB0983"/>
    <w:rsid w:val="00AB1817"/>
    <w:rsid w:val="00AB1870"/>
    <w:rsid w:val="00AB2B10"/>
    <w:rsid w:val="00AB5AD6"/>
    <w:rsid w:val="00AC182F"/>
    <w:rsid w:val="00AC219D"/>
    <w:rsid w:val="00AC267C"/>
    <w:rsid w:val="00AC4189"/>
    <w:rsid w:val="00AC76FA"/>
    <w:rsid w:val="00AC7D61"/>
    <w:rsid w:val="00AD1364"/>
    <w:rsid w:val="00AD308B"/>
    <w:rsid w:val="00AD3E8F"/>
    <w:rsid w:val="00AD647F"/>
    <w:rsid w:val="00AD669D"/>
    <w:rsid w:val="00AE0B13"/>
    <w:rsid w:val="00AE1891"/>
    <w:rsid w:val="00AE202A"/>
    <w:rsid w:val="00AE2C2C"/>
    <w:rsid w:val="00AE38B0"/>
    <w:rsid w:val="00AE3D82"/>
    <w:rsid w:val="00AE5ECC"/>
    <w:rsid w:val="00AE7A9D"/>
    <w:rsid w:val="00AF05D0"/>
    <w:rsid w:val="00AF077A"/>
    <w:rsid w:val="00AF2904"/>
    <w:rsid w:val="00AF50DB"/>
    <w:rsid w:val="00AF5614"/>
    <w:rsid w:val="00AF5722"/>
    <w:rsid w:val="00AF60A4"/>
    <w:rsid w:val="00AF71C5"/>
    <w:rsid w:val="00B00185"/>
    <w:rsid w:val="00B003E3"/>
    <w:rsid w:val="00B00FF0"/>
    <w:rsid w:val="00B010C4"/>
    <w:rsid w:val="00B0213A"/>
    <w:rsid w:val="00B02924"/>
    <w:rsid w:val="00B03F87"/>
    <w:rsid w:val="00B043C0"/>
    <w:rsid w:val="00B1023B"/>
    <w:rsid w:val="00B10F33"/>
    <w:rsid w:val="00B12460"/>
    <w:rsid w:val="00B126AF"/>
    <w:rsid w:val="00B130AB"/>
    <w:rsid w:val="00B13267"/>
    <w:rsid w:val="00B14611"/>
    <w:rsid w:val="00B14C32"/>
    <w:rsid w:val="00B14DD4"/>
    <w:rsid w:val="00B16990"/>
    <w:rsid w:val="00B16CD7"/>
    <w:rsid w:val="00B17337"/>
    <w:rsid w:val="00B226D9"/>
    <w:rsid w:val="00B234DD"/>
    <w:rsid w:val="00B315EC"/>
    <w:rsid w:val="00B32D53"/>
    <w:rsid w:val="00B3300B"/>
    <w:rsid w:val="00B341E5"/>
    <w:rsid w:val="00B351DA"/>
    <w:rsid w:val="00B36C1C"/>
    <w:rsid w:val="00B3766C"/>
    <w:rsid w:val="00B37D09"/>
    <w:rsid w:val="00B40CBC"/>
    <w:rsid w:val="00B415A1"/>
    <w:rsid w:val="00B45E6F"/>
    <w:rsid w:val="00B472B8"/>
    <w:rsid w:val="00B504B5"/>
    <w:rsid w:val="00B50661"/>
    <w:rsid w:val="00B50B00"/>
    <w:rsid w:val="00B5190F"/>
    <w:rsid w:val="00B51FA9"/>
    <w:rsid w:val="00B530F1"/>
    <w:rsid w:val="00B53193"/>
    <w:rsid w:val="00B55C27"/>
    <w:rsid w:val="00B55DA6"/>
    <w:rsid w:val="00B55F9C"/>
    <w:rsid w:val="00B567B7"/>
    <w:rsid w:val="00B56B05"/>
    <w:rsid w:val="00B57758"/>
    <w:rsid w:val="00B606CD"/>
    <w:rsid w:val="00B60FBF"/>
    <w:rsid w:val="00B610F8"/>
    <w:rsid w:val="00B61583"/>
    <w:rsid w:val="00B703AB"/>
    <w:rsid w:val="00B70B04"/>
    <w:rsid w:val="00B71223"/>
    <w:rsid w:val="00B75C36"/>
    <w:rsid w:val="00B772DB"/>
    <w:rsid w:val="00B82A57"/>
    <w:rsid w:val="00B82ABA"/>
    <w:rsid w:val="00B83650"/>
    <w:rsid w:val="00B83E6B"/>
    <w:rsid w:val="00B8432C"/>
    <w:rsid w:val="00B85F0D"/>
    <w:rsid w:val="00B86291"/>
    <w:rsid w:val="00B86877"/>
    <w:rsid w:val="00B87B64"/>
    <w:rsid w:val="00B9075D"/>
    <w:rsid w:val="00B90F4B"/>
    <w:rsid w:val="00B92AC9"/>
    <w:rsid w:val="00B934D4"/>
    <w:rsid w:val="00B9392A"/>
    <w:rsid w:val="00B96A8D"/>
    <w:rsid w:val="00BA1621"/>
    <w:rsid w:val="00BA1901"/>
    <w:rsid w:val="00BA2FDE"/>
    <w:rsid w:val="00BA3434"/>
    <w:rsid w:val="00BB2A9F"/>
    <w:rsid w:val="00BB2F8B"/>
    <w:rsid w:val="00BB3ACA"/>
    <w:rsid w:val="00BB41F8"/>
    <w:rsid w:val="00BB5EB0"/>
    <w:rsid w:val="00BB6745"/>
    <w:rsid w:val="00BB7405"/>
    <w:rsid w:val="00BC0A42"/>
    <w:rsid w:val="00BC1989"/>
    <w:rsid w:val="00BC1F2A"/>
    <w:rsid w:val="00BC207E"/>
    <w:rsid w:val="00BC305D"/>
    <w:rsid w:val="00BC3208"/>
    <w:rsid w:val="00BC3272"/>
    <w:rsid w:val="00BC32F4"/>
    <w:rsid w:val="00BC3F53"/>
    <w:rsid w:val="00BC4043"/>
    <w:rsid w:val="00BD0ACF"/>
    <w:rsid w:val="00BD2055"/>
    <w:rsid w:val="00BD274E"/>
    <w:rsid w:val="00BD5088"/>
    <w:rsid w:val="00BD68C6"/>
    <w:rsid w:val="00BD7C90"/>
    <w:rsid w:val="00BD7E48"/>
    <w:rsid w:val="00BE0193"/>
    <w:rsid w:val="00BE17CE"/>
    <w:rsid w:val="00BE2315"/>
    <w:rsid w:val="00BE3ABC"/>
    <w:rsid w:val="00BE3F56"/>
    <w:rsid w:val="00BE4772"/>
    <w:rsid w:val="00BE4F10"/>
    <w:rsid w:val="00BE59B1"/>
    <w:rsid w:val="00BE6A82"/>
    <w:rsid w:val="00BE6E84"/>
    <w:rsid w:val="00BF064E"/>
    <w:rsid w:val="00BF3D2B"/>
    <w:rsid w:val="00BF4949"/>
    <w:rsid w:val="00BF7DFC"/>
    <w:rsid w:val="00C022B6"/>
    <w:rsid w:val="00C04F47"/>
    <w:rsid w:val="00C05C10"/>
    <w:rsid w:val="00C07932"/>
    <w:rsid w:val="00C134F6"/>
    <w:rsid w:val="00C141D7"/>
    <w:rsid w:val="00C1438E"/>
    <w:rsid w:val="00C14B8C"/>
    <w:rsid w:val="00C150FA"/>
    <w:rsid w:val="00C15B28"/>
    <w:rsid w:val="00C17F9B"/>
    <w:rsid w:val="00C22045"/>
    <w:rsid w:val="00C23DDE"/>
    <w:rsid w:val="00C23F0C"/>
    <w:rsid w:val="00C240EE"/>
    <w:rsid w:val="00C24297"/>
    <w:rsid w:val="00C24545"/>
    <w:rsid w:val="00C25B0E"/>
    <w:rsid w:val="00C25C47"/>
    <w:rsid w:val="00C2780D"/>
    <w:rsid w:val="00C30DF3"/>
    <w:rsid w:val="00C3132D"/>
    <w:rsid w:val="00C315B7"/>
    <w:rsid w:val="00C31FF5"/>
    <w:rsid w:val="00C32118"/>
    <w:rsid w:val="00C32A7E"/>
    <w:rsid w:val="00C35461"/>
    <w:rsid w:val="00C35D3E"/>
    <w:rsid w:val="00C35F57"/>
    <w:rsid w:val="00C372BA"/>
    <w:rsid w:val="00C404A0"/>
    <w:rsid w:val="00C41C8B"/>
    <w:rsid w:val="00C42D46"/>
    <w:rsid w:val="00C4381B"/>
    <w:rsid w:val="00C43C0A"/>
    <w:rsid w:val="00C45135"/>
    <w:rsid w:val="00C45F72"/>
    <w:rsid w:val="00C46781"/>
    <w:rsid w:val="00C46B51"/>
    <w:rsid w:val="00C46FF4"/>
    <w:rsid w:val="00C510FC"/>
    <w:rsid w:val="00C54F0E"/>
    <w:rsid w:val="00C57171"/>
    <w:rsid w:val="00C57FB2"/>
    <w:rsid w:val="00C6144F"/>
    <w:rsid w:val="00C61E04"/>
    <w:rsid w:val="00C627CA"/>
    <w:rsid w:val="00C6589F"/>
    <w:rsid w:val="00C66382"/>
    <w:rsid w:val="00C67CAF"/>
    <w:rsid w:val="00C70C40"/>
    <w:rsid w:val="00C71547"/>
    <w:rsid w:val="00C73CF5"/>
    <w:rsid w:val="00C73D78"/>
    <w:rsid w:val="00C73F9F"/>
    <w:rsid w:val="00C76153"/>
    <w:rsid w:val="00C76C60"/>
    <w:rsid w:val="00C803DE"/>
    <w:rsid w:val="00C811A7"/>
    <w:rsid w:val="00C81CD6"/>
    <w:rsid w:val="00C831A9"/>
    <w:rsid w:val="00C84B67"/>
    <w:rsid w:val="00C853AD"/>
    <w:rsid w:val="00C86346"/>
    <w:rsid w:val="00C91DEC"/>
    <w:rsid w:val="00C92311"/>
    <w:rsid w:val="00C92E9C"/>
    <w:rsid w:val="00C93507"/>
    <w:rsid w:val="00C95719"/>
    <w:rsid w:val="00C975F5"/>
    <w:rsid w:val="00CA0BE1"/>
    <w:rsid w:val="00CA1318"/>
    <w:rsid w:val="00CA44B5"/>
    <w:rsid w:val="00CA738C"/>
    <w:rsid w:val="00CB01E1"/>
    <w:rsid w:val="00CB0824"/>
    <w:rsid w:val="00CB0A78"/>
    <w:rsid w:val="00CB0C18"/>
    <w:rsid w:val="00CB0DD1"/>
    <w:rsid w:val="00CB1AC2"/>
    <w:rsid w:val="00CB4B01"/>
    <w:rsid w:val="00CB4EFD"/>
    <w:rsid w:val="00CB59E1"/>
    <w:rsid w:val="00CC09FA"/>
    <w:rsid w:val="00CC2D9C"/>
    <w:rsid w:val="00CC3CB9"/>
    <w:rsid w:val="00CC5EE6"/>
    <w:rsid w:val="00CC768B"/>
    <w:rsid w:val="00CC7C52"/>
    <w:rsid w:val="00CD2090"/>
    <w:rsid w:val="00CD4E45"/>
    <w:rsid w:val="00CD751C"/>
    <w:rsid w:val="00CE024A"/>
    <w:rsid w:val="00CE1359"/>
    <w:rsid w:val="00CE4DA8"/>
    <w:rsid w:val="00CE539D"/>
    <w:rsid w:val="00CE62B2"/>
    <w:rsid w:val="00CF0BDA"/>
    <w:rsid w:val="00CF2FAF"/>
    <w:rsid w:val="00CF5C48"/>
    <w:rsid w:val="00CF7F51"/>
    <w:rsid w:val="00D01D0B"/>
    <w:rsid w:val="00D01F01"/>
    <w:rsid w:val="00D022F8"/>
    <w:rsid w:val="00D02342"/>
    <w:rsid w:val="00D039E7"/>
    <w:rsid w:val="00D03AF3"/>
    <w:rsid w:val="00D11051"/>
    <w:rsid w:val="00D12898"/>
    <w:rsid w:val="00D1500A"/>
    <w:rsid w:val="00D15EDF"/>
    <w:rsid w:val="00D17B49"/>
    <w:rsid w:val="00D17FBD"/>
    <w:rsid w:val="00D203AF"/>
    <w:rsid w:val="00D21C2E"/>
    <w:rsid w:val="00D233FF"/>
    <w:rsid w:val="00D24320"/>
    <w:rsid w:val="00D25A03"/>
    <w:rsid w:val="00D269C2"/>
    <w:rsid w:val="00D27FC1"/>
    <w:rsid w:val="00D34913"/>
    <w:rsid w:val="00D36D0A"/>
    <w:rsid w:val="00D36D43"/>
    <w:rsid w:val="00D36F80"/>
    <w:rsid w:val="00D37115"/>
    <w:rsid w:val="00D3791C"/>
    <w:rsid w:val="00D418F3"/>
    <w:rsid w:val="00D42AB3"/>
    <w:rsid w:val="00D448D4"/>
    <w:rsid w:val="00D46370"/>
    <w:rsid w:val="00D46F87"/>
    <w:rsid w:val="00D51422"/>
    <w:rsid w:val="00D51A7F"/>
    <w:rsid w:val="00D51CC2"/>
    <w:rsid w:val="00D51FF4"/>
    <w:rsid w:val="00D52AE5"/>
    <w:rsid w:val="00D54A6E"/>
    <w:rsid w:val="00D54D51"/>
    <w:rsid w:val="00D559B2"/>
    <w:rsid w:val="00D566A7"/>
    <w:rsid w:val="00D602DE"/>
    <w:rsid w:val="00D60DD6"/>
    <w:rsid w:val="00D6105C"/>
    <w:rsid w:val="00D64008"/>
    <w:rsid w:val="00D65882"/>
    <w:rsid w:val="00D671F8"/>
    <w:rsid w:val="00D674BE"/>
    <w:rsid w:val="00D7039B"/>
    <w:rsid w:val="00D71426"/>
    <w:rsid w:val="00D72707"/>
    <w:rsid w:val="00D7363A"/>
    <w:rsid w:val="00D73B6F"/>
    <w:rsid w:val="00D74770"/>
    <w:rsid w:val="00D74923"/>
    <w:rsid w:val="00D77C15"/>
    <w:rsid w:val="00D77F6B"/>
    <w:rsid w:val="00D8284A"/>
    <w:rsid w:val="00D8464F"/>
    <w:rsid w:val="00D84A5E"/>
    <w:rsid w:val="00D84CF1"/>
    <w:rsid w:val="00D87E71"/>
    <w:rsid w:val="00D87F8D"/>
    <w:rsid w:val="00D90DCB"/>
    <w:rsid w:val="00D93CDE"/>
    <w:rsid w:val="00D94298"/>
    <w:rsid w:val="00D95525"/>
    <w:rsid w:val="00D95A63"/>
    <w:rsid w:val="00DA08D8"/>
    <w:rsid w:val="00DA291F"/>
    <w:rsid w:val="00DA3A55"/>
    <w:rsid w:val="00DA3D84"/>
    <w:rsid w:val="00DA7613"/>
    <w:rsid w:val="00DB00C3"/>
    <w:rsid w:val="00DB4199"/>
    <w:rsid w:val="00DB7C18"/>
    <w:rsid w:val="00DC0892"/>
    <w:rsid w:val="00DC18A7"/>
    <w:rsid w:val="00DC1D33"/>
    <w:rsid w:val="00DC3A2C"/>
    <w:rsid w:val="00DC488B"/>
    <w:rsid w:val="00DC66C3"/>
    <w:rsid w:val="00DC7B73"/>
    <w:rsid w:val="00DD2BE0"/>
    <w:rsid w:val="00DD543A"/>
    <w:rsid w:val="00DD5C8F"/>
    <w:rsid w:val="00DD7D98"/>
    <w:rsid w:val="00DE36D6"/>
    <w:rsid w:val="00DF2872"/>
    <w:rsid w:val="00DF2A72"/>
    <w:rsid w:val="00DF4DC3"/>
    <w:rsid w:val="00DF5202"/>
    <w:rsid w:val="00DF6BE9"/>
    <w:rsid w:val="00DF6F18"/>
    <w:rsid w:val="00E00C50"/>
    <w:rsid w:val="00E026AB"/>
    <w:rsid w:val="00E02A63"/>
    <w:rsid w:val="00E032AE"/>
    <w:rsid w:val="00E04759"/>
    <w:rsid w:val="00E050BD"/>
    <w:rsid w:val="00E07047"/>
    <w:rsid w:val="00E07DB1"/>
    <w:rsid w:val="00E125BE"/>
    <w:rsid w:val="00E14284"/>
    <w:rsid w:val="00E16258"/>
    <w:rsid w:val="00E175E1"/>
    <w:rsid w:val="00E17B87"/>
    <w:rsid w:val="00E2003C"/>
    <w:rsid w:val="00E20E60"/>
    <w:rsid w:val="00E239C6"/>
    <w:rsid w:val="00E256EE"/>
    <w:rsid w:val="00E26347"/>
    <w:rsid w:val="00E307CE"/>
    <w:rsid w:val="00E32C37"/>
    <w:rsid w:val="00E34D4A"/>
    <w:rsid w:val="00E3681B"/>
    <w:rsid w:val="00E37C0E"/>
    <w:rsid w:val="00E41701"/>
    <w:rsid w:val="00E41838"/>
    <w:rsid w:val="00E42001"/>
    <w:rsid w:val="00E43E8C"/>
    <w:rsid w:val="00E44646"/>
    <w:rsid w:val="00E44B5A"/>
    <w:rsid w:val="00E45002"/>
    <w:rsid w:val="00E450E2"/>
    <w:rsid w:val="00E5002C"/>
    <w:rsid w:val="00E540BE"/>
    <w:rsid w:val="00E553DD"/>
    <w:rsid w:val="00E554CE"/>
    <w:rsid w:val="00E5569D"/>
    <w:rsid w:val="00E570A5"/>
    <w:rsid w:val="00E577D5"/>
    <w:rsid w:val="00E57F60"/>
    <w:rsid w:val="00E62047"/>
    <w:rsid w:val="00E6323F"/>
    <w:rsid w:val="00E632FB"/>
    <w:rsid w:val="00E67675"/>
    <w:rsid w:val="00E67A8E"/>
    <w:rsid w:val="00E7259E"/>
    <w:rsid w:val="00E7475D"/>
    <w:rsid w:val="00E74CC8"/>
    <w:rsid w:val="00E74DB8"/>
    <w:rsid w:val="00E7511D"/>
    <w:rsid w:val="00E76079"/>
    <w:rsid w:val="00E763BC"/>
    <w:rsid w:val="00E84893"/>
    <w:rsid w:val="00E84CC6"/>
    <w:rsid w:val="00E87727"/>
    <w:rsid w:val="00E92757"/>
    <w:rsid w:val="00E941AD"/>
    <w:rsid w:val="00E9481A"/>
    <w:rsid w:val="00E953B0"/>
    <w:rsid w:val="00EA00E3"/>
    <w:rsid w:val="00EA3526"/>
    <w:rsid w:val="00EA532B"/>
    <w:rsid w:val="00EA5B47"/>
    <w:rsid w:val="00EA6DE7"/>
    <w:rsid w:val="00EA7AE6"/>
    <w:rsid w:val="00EA7F9B"/>
    <w:rsid w:val="00EB174E"/>
    <w:rsid w:val="00EB243E"/>
    <w:rsid w:val="00EB27FE"/>
    <w:rsid w:val="00EB2EBC"/>
    <w:rsid w:val="00EB3633"/>
    <w:rsid w:val="00EB4A24"/>
    <w:rsid w:val="00EB4D5B"/>
    <w:rsid w:val="00EB6118"/>
    <w:rsid w:val="00EB66DF"/>
    <w:rsid w:val="00EC018A"/>
    <w:rsid w:val="00EC0360"/>
    <w:rsid w:val="00EC3178"/>
    <w:rsid w:val="00EC3DAE"/>
    <w:rsid w:val="00EC45CD"/>
    <w:rsid w:val="00EC4D99"/>
    <w:rsid w:val="00EC5EEB"/>
    <w:rsid w:val="00EC6951"/>
    <w:rsid w:val="00EC6BD7"/>
    <w:rsid w:val="00EC74C8"/>
    <w:rsid w:val="00ED23B3"/>
    <w:rsid w:val="00ED7F4F"/>
    <w:rsid w:val="00EE03EC"/>
    <w:rsid w:val="00EE0731"/>
    <w:rsid w:val="00EE2562"/>
    <w:rsid w:val="00EE2825"/>
    <w:rsid w:val="00EE2B03"/>
    <w:rsid w:val="00EE493A"/>
    <w:rsid w:val="00EE4C1E"/>
    <w:rsid w:val="00EE5DD6"/>
    <w:rsid w:val="00EE69C8"/>
    <w:rsid w:val="00EF000F"/>
    <w:rsid w:val="00EF0A8F"/>
    <w:rsid w:val="00EF1282"/>
    <w:rsid w:val="00EF261D"/>
    <w:rsid w:val="00EF38C8"/>
    <w:rsid w:val="00EF42BD"/>
    <w:rsid w:val="00EF7876"/>
    <w:rsid w:val="00F009C7"/>
    <w:rsid w:val="00F00FAD"/>
    <w:rsid w:val="00F01DD3"/>
    <w:rsid w:val="00F02628"/>
    <w:rsid w:val="00F0336C"/>
    <w:rsid w:val="00F05335"/>
    <w:rsid w:val="00F0605D"/>
    <w:rsid w:val="00F076F9"/>
    <w:rsid w:val="00F10F28"/>
    <w:rsid w:val="00F12CC0"/>
    <w:rsid w:val="00F12FDC"/>
    <w:rsid w:val="00F13AE0"/>
    <w:rsid w:val="00F15C12"/>
    <w:rsid w:val="00F16DA5"/>
    <w:rsid w:val="00F17A26"/>
    <w:rsid w:val="00F21A0F"/>
    <w:rsid w:val="00F22283"/>
    <w:rsid w:val="00F22483"/>
    <w:rsid w:val="00F22BB4"/>
    <w:rsid w:val="00F2429B"/>
    <w:rsid w:val="00F24549"/>
    <w:rsid w:val="00F24DB9"/>
    <w:rsid w:val="00F26312"/>
    <w:rsid w:val="00F31760"/>
    <w:rsid w:val="00F32DB6"/>
    <w:rsid w:val="00F33606"/>
    <w:rsid w:val="00F339F9"/>
    <w:rsid w:val="00F34463"/>
    <w:rsid w:val="00F35E66"/>
    <w:rsid w:val="00F35EA3"/>
    <w:rsid w:val="00F40D2D"/>
    <w:rsid w:val="00F4190E"/>
    <w:rsid w:val="00F41919"/>
    <w:rsid w:val="00F44E26"/>
    <w:rsid w:val="00F4597C"/>
    <w:rsid w:val="00F46150"/>
    <w:rsid w:val="00F47E23"/>
    <w:rsid w:val="00F51906"/>
    <w:rsid w:val="00F51ED7"/>
    <w:rsid w:val="00F51FF4"/>
    <w:rsid w:val="00F530F1"/>
    <w:rsid w:val="00F54DC0"/>
    <w:rsid w:val="00F55051"/>
    <w:rsid w:val="00F555ED"/>
    <w:rsid w:val="00F55EB7"/>
    <w:rsid w:val="00F5643A"/>
    <w:rsid w:val="00F5717A"/>
    <w:rsid w:val="00F57D61"/>
    <w:rsid w:val="00F61033"/>
    <w:rsid w:val="00F61B8D"/>
    <w:rsid w:val="00F62D81"/>
    <w:rsid w:val="00F62FA2"/>
    <w:rsid w:val="00F660A2"/>
    <w:rsid w:val="00F66192"/>
    <w:rsid w:val="00F7001D"/>
    <w:rsid w:val="00F70236"/>
    <w:rsid w:val="00F71182"/>
    <w:rsid w:val="00F71F0A"/>
    <w:rsid w:val="00F72670"/>
    <w:rsid w:val="00F72EF4"/>
    <w:rsid w:val="00F74F4C"/>
    <w:rsid w:val="00F74F92"/>
    <w:rsid w:val="00F751A9"/>
    <w:rsid w:val="00F772A7"/>
    <w:rsid w:val="00F80078"/>
    <w:rsid w:val="00F81502"/>
    <w:rsid w:val="00F82B80"/>
    <w:rsid w:val="00F903FC"/>
    <w:rsid w:val="00F9072E"/>
    <w:rsid w:val="00FA44ED"/>
    <w:rsid w:val="00FA4AC1"/>
    <w:rsid w:val="00FA6B84"/>
    <w:rsid w:val="00FA6C09"/>
    <w:rsid w:val="00FB22BA"/>
    <w:rsid w:val="00FB30C4"/>
    <w:rsid w:val="00FB3479"/>
    <w:rsid w:val="00FB6012"/>
    <w:rsid w:val="00FC1E4A"/>
    <w:rsid w:val="00FC434F"/>
    <w:rsid w:val="00FC5153"/>
    <w:rsid w:val="00FD1AEC"/>
    <w:rsid w:val="00FD2D86"/>
    <w:rsid w:val="00FD3712"/>
    <w:rsid w:val="00FE1FE7"/>
    <w:rsid w:val="00FE4BA0"/>
    <w:rsid w:val="00FE5A95"/>
    <w:rsid w:val="00FE6616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B9A1E"/>
  <w15:docId w15:val="{60755A7C-E2CB-427C-B12B-ABFE7F14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919"/>
    <w:rPr>
      <w:rFonts w:ascii="Courier New" w:hAnsi="Courier New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Naslov5">
    <w:name w:val="heading 5"/>
    <w:basedOn w:val="Normal"/>
    <w:next w:val="Normal"/>
    <w:qFormat/>
    <w:pPr>
      <w:keepNext/>
      <w:ind w:left="660"/>
      <w:outlineLvl w:val="4"/>
    </w:pPr>
    <w:rPr>
      <w:b/>
      <w:sz w:val="24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b/>
      <w:sz w:val="24"/>
    </w:rPr>
  </w:style>
  <w:style w:type="paragraph" w:styleId="Naslov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sz w:val="24"/>
    </w:rPr>
  </w:style>
  <w:style w:type="paragraph" w:styleId="Uvuenotijeloteksta">
    <w:name w:val="Body Text Indent"/>
    <w:basedOn w:val="Normal"/>
    <w:pPr>
      <w:ind w:firstLine="1134"/>
      <w:jc w:val="both"/>
    </w:pPr>
    <w:rPr>
      <w:rFonts w:ascii="Times New Roman" w:hAnsi="Times New Roman"/>
      <w:sz w:val="24"/>
    </w:rPr>
  </w:style>
  <w:style w:type="paragraph" w:styleId="Tijeloteksta2">
    <w:name w:val="Body Text 2"/>
    <w:basedOn w:val="Normal"/>
    <w:link w:val="Tijeloteksta2Char"/>
    <w:pPr>
      <w:jc w:val="both"/>
    </w:pPr>
    <w:rPr>
      <w:rFonts w:ascii="Times New Roman" w:hAnsi="Times New Roman"/>
      <w:sz w:val="24"/>
    </w:rPr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styleId="Tijeloteksta-uvlaka3">
    <w:name w:val="Body Text Indent 3"/>
    <w:basedOn w:val="Normal"/>
    <w:link w:val="Tijeloteksta-uvlaka3Char"/>
    <w:pPr>
      <w:ind w:firstLine="1134"/>
      <w:jc w:val="both"/>
    </w:pPr>
    <w:rPr>
      <w:rFonts w:ascii="Times New Roman" w:hAnsi="Times New Roman"/>
      <w:sz w:val="24"/>
      <w:lang w:val="en-AU"/>
    </w:rPr>
  </w:style>
  <w:style w:type="table" w:styleId="Reetkatablice">
    <w:name w:val="Table Grid"/>
    <w:basedOn w:val="Obinatablica"/>
    <w:rsid w:val="00C1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173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733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7270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61ED"/>
    <w:rPr>
      <w:color w:val="0000FF"/>
      <w:u w:val="single"/>
    </w:rPr>
  </w:style>
  <w:style w:type="character" w:customStyle="1" w:styleId="Tijeloteksta2Char">
    <w:name w:val="Tijelo teksta 2 Char"/>
    <w:basedOn w:val="Zadanifontodlomka"/>
    <w:link w:val="Tijeloteksta2"/>
    <w:rsid w:val="00AF077A"/>
    <w:rPr>
      <w:sz w:val="24"/>
    </w:rPr>
  </w:style>
  <w:style w:type="character" w:customStyle="1" w:styleId="ZaglavljeChar">
    <w:name w:val="Zaglavlje Char"/>
    <w:basedOn w:val="Zadanifontodlomka"/>
    <w:link w:val="Zaglavlje"/>
    <w:rsid w:val="00F51FF4"/>
    <w:rPr>
      <w:rFonts w:ascii="Courier New" w:hAnsi="Courier New"/>
    </w:rPr>
  </w:style>
  <w:style w:type="character" w:customStyle="1" w:styleId="Tijeloteksta-uvlaka3Char">
    <w:name w:val="Tijelo teksta - uvlaka 3 Char"/>
    <w:basedOn w:val="Zadanifontodlomka"/>
    <w:link w:val="Tijeloteksta-uvlaka3"/>
    <w:rsid w:val="00AB1817"/>
    <w:rPr>
      <w:sz w:val="24"/>
      <w:lang w:val="en-AU"/>
    </w:rPr>
  </w:style>
  <w:style w:type="paragraph" w:customStyle="1" w:styleId="box470855">
    <w:name w:val="box_470855"/>
    <w:basedOn w:val="Normal"/>
    <w:rsid w:val="009F23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453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kar.hr/grad-bakar/proracu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B8FBA-CDA0-4175-9B74-6AF7DD4B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3914</Words>
  <Characters>22311</Characters>
  <Application>Microsoft Office Word</Application>
  <DocSecurity>0</DocSecurity>
  <Lines>185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FINANCIJSKI IZVJEŠTAJI</vt:lpstr>
      <vt:lpstr>ŽUPANIJA PRIMORSKO-GORANSKA</vt:lpstr>
    </vt:vector>
  </TitlesOfParts>
  <Company>GRAD BAKAR</Company>
  <LinksUpToDate>false</LinksUpToDate>
  <CharactersWithSpaces>26173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FINANCIJSKI IZVJEŠTAJI</dc:title>
  <dc:creator>Iva Marohnić</dc:creator>
  <cp:lastModifiedBy>Branka Šišul</cp:lastModifiedBy>
  <cp:revision>2</cp:revision>
  <cp:lastPrinted>2021-02-12T10:00:00Z</cp:lastPrinted>
  <dcterms:created xsi:type="dcterms:W3CDTF">2024-02-16T09:10:00Z</dcterms:created>
  <dcterms:modified xsi:type="dcterms:W3CDTF">2024-02-16T09:10:00Z</dcterms:modified>
</cp:coreProperties>
</file>